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5A666" w14:textId="30A5CBC9" w:rsidR="00B1321C" w:rsidRDefault="00257035">
      <w:pPr>
        <w:pStyle w:val="CRCoverPage"/>
        <w:tabs>
          <w:tab w:val="right" w:pos="9639"/>
        </w:tabs>
        <w:spacing w:after="0"/>
        <w:rPr>
          <w:b/>
          <w:sz w:val="24"/>
        </w:rPr>
      </w:pPr>
      <w:r>
        <w:rPr>
          <w:b/>
          <w:sz w:val="24"/>
        </w:rPr>
        <w:t>3GPP TSG-RAN WG2 Meeting #122</w:t>
      </w:r>
      <w:r>
        <w:rPr>
          <w:b/>
          <w:sz w:val="24"/>
        </w:rPr>
        <w:tab/>
      </w:r>
      <w:r w:rsidR="006310EB">
        <w:rPr>
          <w:b/>
          <w:sz w:val="24"/>
        </w:rPr>
        <w:t>R2-2304821</w:t>
      </w:r>
    </w:p>
    <w:p w14:paraId="536D4B81" w14:textId="0893C402" w:rsidR="00B1321C" w:rsidRDefault="00257035">
      <w:pPr>
        <w:pStyle w:val="CRCoverPage"/>
        <w:tabs>
          <w:tab w:val="right" w:pos="9639"/>
        </w:tabs>
        <w:spacing w:after="0"/>
        <w:rPr>
          <w:rFonts w:eastAsia="宋体"/>
          <w:b/>
          <w:sz w:val="24"/>
        </w:rPr>
      </w:pPr>
      <w:r>
        <w:rPr>
          <w:b/>
          <w:sz w:val="24"/>
        </w:rPr>
        <w:t>Incheon, Korea, 22</w:t>
      </w:r>
      <w:r>
        <w:rPr>
          <w:b/>
          <w:sz w:val="24"/>
          <w:vertAlign w:val="superscript"/>
        </w:rPr>
        <w:t>nd</w:t>
      </w:r>
      <w:r>
        <w:rPr>
          <w:b/>
          <w:sz w:val="24"/>
        </w:rPr>
        <w:t xml:space="preserve"> – 26</w:t>
      </w:r>
      <w:r>
        <w:rPr>
          <w:b/>
          <w:sz w:val="24"/>
          <w:vertAlign w:val="superscript"/>
        </w:rPr>
        <w:t>th</w:t>
      </w:r>
      <w:r>
        <w:rPr>
          <w:b/>
          <w:sz w:val="24"/>
        </w:rPr>
        <w:t xml:space="preserve"> May, 2023</w:t>
      </w:r>
    </w:p>
    <w:p w14:paraId="22F67366" w14:textId="77777777" w:rsidR="00B1321C" w:rsidRDefault="00B1321C">
      <w:pPr>
        <w:pStyle w:val="3GPPHeader"/>
        <w:rPr>
          <w:lang w:eastAsia="en-US"/>
        </w:rPr>
      </w:pPr>
    </w:p>
    <w:p w14:paraId="63B5DA3B" w14:textId="77777777" w:rsidR="00B1321C" w:rsidRDefault="00257035">
      <w:pPr>
        <w:pStyle w:val="3GPPHeader"/>
        <w:rPr>
          <w:lang w:eastAsia="en-US"/>
        </w:rPr>
      </w:pPr>
      <w:r>
        <w:rPr>
          <w:lang w:eastAsia="en-US"/>
        </w:rPr>
        <w:t>Agenda Item:</w:t>
      </w:r>
      <w:r>
        <w:rPr>
          <w:lang w:eastAsia="en-US"/>
        </w:rPr>
        <w:tab/>
        <w:t>7.11.3</w:t>
      </w:r>
      <w:r>
        <w:rPr>
          <w:lang w:eastAsia="en-US"/>
        </w:rPr>
        <w:tab/>
      </w:r>
    </w:p>
    <w:p w14:paraId="528202E4" w14:textId="77777777" w:rsidR="00B1321C" w:rsidRDefault="00257035">
      <w:pPr>
        <w:pStyle w:val="3GPPHeader"/>
        <w:rPr>
          <w:lang w:eastAsia="en-US"/>
        </w:rPr>
      </w:pPr>
      <w:r>
        <w:rPr>
          <w:lang w:eastAsia="en-US"/>
        </w:rPr>
        <w:t>Source:</w:t>
      </w:r>
      <w:r>
        <w:rPr>
          <w:lang w:eastAsia="en-US"/>
        </w:rPr>
        <w:tab/>
        <w:t>Huawei, HiSilicon</w:t>
      </w:r>
    </w:p>
    <w:p w14:paraId="60B5CF86" w14:textId="77777777" w:rsidR="00B1321C" w:rsidRDefault="00257035">
      <w:pPr>
        <w:pStyle w:val="3GPPHeader"/>
        <w:rPr>
          <w:lang w:eastAsia="en-US"/>
        </w:rPr>
      </w:pPr>
      <w:r>
        <w:rPr>
          <w:lang w:eastAsia="en-US"/>
        </w:rPr>
        <w:t>Title:</w:t>
      </w:r>
      <w:r>
        <w:rPr>
          <w:lang w:eastAsia="en-US"/>
        </w:rPr>
        <w:tab/>
        <w:t>Discussion on shared processing for MBS broadcast and unicast reception</w:t>
      </w:r>
    </w:p>
    <w:p w14:paraId="39E73AB2" w14:textId="77777777" w:rsidR="00B1321C" w:rsidRDefault="00257035">
      <w:pPr>
        <w:pStyle w:val="3GPPHeader"/>
        <w:rPr>
          <w:lang w:eastAsia="en-US"/>
        </w:rPr>
      </w:pPr>
      <w:r>
        <w:rPr>
          <w:lang w:eastAsia="en-US"/>
        </w:rPr>
        <w:t>Document for:   Discussion and decision</w:t>
      </w:r>
    </w:p>
    <w:p w14:paraId="76C39188" w14:textId="77777777" w:rsidR="00B1321C" w:rsidRDefault="00257035">
      <w:pPr>
        <w:pStyle w:val="1"/>
        <w:rPr>
          <w:rFonts w:eastAsia="Malgun Gothic"/>
        </w:rPr>
      </w:pPr>
      <w:r>
        <w:rPr>
          <w:rFonts w:eastAsia="Malgun Gothic"/>
        </w:rPr>
        <w:t>Introduction</w:t>
      </w:r>
    </w:p>
    <w:p w14:paraId="47B30A90" w14:textId="77777777" w:rsidR="00B1321C" w:rsidRDefault="00257035">
      <w:r>
        <w:t xml:space="preserve">In the RAN2#121 meeting, we </w:t>
      </w:r>
      <w:r>
        <w:rPr>
          <w:rFonts w:hint="eastAsia"/>
        </w:rPr>
        <w:t>made</w:t>
      </w:r>
      <w:r>
        <w:t xml:space="preserve"> the agreements for shared processing as below [1]: </w:t>
      </w:r>
    </w:p>
    <w:tbl>
      <w:tblPr>
        <w:tblStyle w:val="ab"/>
        <w:tblW w:w="9493" w:type="dxa"/>
        <w:tblLayout w:type="fixed"/>
        <w:tblLook w:val="04A0" w:firstRow="1" w:lastRow="0" w:firstColumn="1" w:lastColumn="0" w:noHBand="0" w:noVBand="1"/>
      </w:tblPr>
      <w:tblGrid>
        <w:gridCol w:w="9493"/>
      </w:tblGrid>
      <w:tr w:rsidR="00B1321C" w14:paraId="36D7E397" w14:textId="77777777">
        <w:tc>
          <w:tcPr>
            <w:tcW w:w="9493" w:type="dxa"/>
          </w:tcPr>
          <w:p w14:paraId="3AA90F67" w14:textId="77777777" w:rsidR="00B1321C" w:rsidRDefault="00257035">
            <w:pPr>
              <w:pStyle w:val="Agreement"/>
              <w:numPr>
                <w:ilvl w:val="0"/>
                <w:numId w:val="4"/>
              </w:numPr>
            </w:pPr>
            <w:r>
              <w:t>Indicate the capability of receiving MBS broadcast from a non-serving cell. FFS whether the granularity is at FeatureSetDownlink or FeatureSetDownlinkPerCC level.</w:t>
            </w:r>
          </w:p>
          <w:p w14:paraId="02C0BB23" w14:textId="77777777" w:rsidR="00B1321C" w:rsidRDefault="00257035">
            <w:pPr>
              <w:pStyle w:val="Agreement"/>
              <w:numPr>
                <w:ilvl w:val="0"/>
                <w:numId w:val="4"/>
              </w:numPr>
            </w:pPr>
            <w:r>
              <w:t>FFS Whether to include additional information in MII can be controlled by the network. Should consider whether this would be two-step procedure or one-step procedure (e.g. having more info in SIB1).</w:t>
            </w:r>
          </w:p>
        </w:tc>
      </w:tr>
    </w:tbl>
    <w:p w14:paraId="1342E257" w14:textId="77777777" w:rsidR="00B1321C" w:rsidRDefault="00257035">
      <w:pPr>
        <w:spacing w:beforeLines="50" w:before="120"/>
      </w:pPr>
      <w:r>
        <w:t>In this contribution, we further discuss the granularity of capability signaling for non-serving cell broadcast reception, the procedure for non-serving cell MII reporting and the content of the MII</w:t>
      </w:r>
      <w:r>
        <w:rPr>
          <w:bCs/>
        </w:rPr>
        <w:t>.</w:t>
      </w:r>
    </w:p>
    <w:p w14:paraId="07F1DCDB" w14:textId="77777777" w:rsidR="00B1321C" w:rsidRDefault="00257035">
      <w:pPr>
        <w:pStyle w:val="1"/>
        <w:rPr>
          <w:rFonts w:eastAsiaTheme="minorEastAsia"/>
        </w:rPr>
      </w:pPr>
      <w:r>
        <w:rPr>
          <w:rFonts w:eastAsiaTheme="minorEastAsia"/>
        </w:rPr>
        <w:t>Discussion</w:t>
      </w:r>
    </w:p>
    <w:p w14:paraId="64B26857" w14:textId="77777777" w:rsidR="00B1321C" w:rsidRDefault="00257035">
      <w:pPr>
        <w:pStyle w:val="2"/>
      </w:pPr>
      <w:r>
        <w:rPr>
          <w:rFonts w:eastAsiaTheme="minorEastAsia"/>
        </w:rPr>
        <w:t xml:space="preserve">Granularity of </w:t>
      </w:r>
      <w:r>
        <w:rPr>
          <w:rFonts w:eastAsiaTheme="minorEastAsia" w:hint="eastAsia"/>
        </w:rPr>
        <w:t>U</w:t>
      </w:r>
      <w:r>
        <w:rPr>
          <w:rFonts w:eastAsiaTheme="minorEastAsia"/>
        </w:rPr>
        <w:t>E capability signalling</w:t>
      </w:r>
    </w:p>
    <w:p w14:paraId="2B59C6F2" w14:textId="60CAE25E" w:rsidR="00B1321C" w:rsidRDefault="00257035">
      <w:r>
        <w:rPr>
          <w:rFonts w:hint="eastAsia"/>
        </w:rPr>
        <w:t>In</w:t>
      </w:r>
      <w:r>
        <w:t xml:space="preserve"> the last meeting, it was agreed to introduce capability signalling for MBS broadcast reception from a non-serving cell. One reason behind this is that the non-serving cell for broadcast reception may not be synchronised with the serving cells and the supported feature sets for the band combination for mixed unicast and broadcast capability may not be identical to the feature sets for unicast only. With such capability signalling, the network can determine which feature set for a band/CC in the band combination may be used by the UE for non-serving cell reception. One FFS is on whether the capability signalling is defined per FSPC level or per FS level. </w:t>
      </w:r>
    </w:p>
    <w:p w14:paraId="2E31F6A0" w14:textId="77777777" w:rsidR="00B1321C" w:rsidRDefault="00257035">
      <w:r>
        <w:t xml:space="preserve">In our view, to simplify the capability signalling, a per FS level capability combined with the MII reported by the UE is enough for the serving gNB to determine the occupied FSPC capability for non-serving cell broadcast reception. It should be also noted that according to the current capability reporting principle, the FSPCs within one FeatureSet can only be configured as contiguous carriers for unicast from serving cell and for broadcast from non-serving cell. Whether the other FSPCs within the </w:t>
      </w:r>
      <w:r>
        <w:rPr>
          <w:i/>
        </w:rPr>
        <w:t xml:space="preserve">FeatureSet </w:t>
      </w:r>
      <w:r>
        <w:t xml:space="preserve">can be used for unicast/multicast should be left to NW decision based on carrier </w:t>
      </w:r>
      <w:r>
        <w:rPr>
          <w:rFonts w:hint="eastAsia"/>
        </w:rPr>
        <w:t>de</w:t>
      </w:r>
      <w:r>
        <w:t xml:space="preserve">ployment. If the contiguous carrier configuration cannot be guaranteed by the serving gNB, the whole </w:t>
      </w:r>
      <w:r>
        <w:rPr>
          <w:i/>
        </w:rPr>
        <w:t xml:space="preserve">FeatureSet </w:t>
      </w:r>
      <w:r>
        <w:t xml:space="preserve">capability should be considered occupied for non-serving cell reception, and the serving gNB may need to stop the unicast/multicast on the corresponding band. </w:t>
      </w:r>
    </w:p>
    <w:tbl>
      <w:tblPr>
        <w:tblStyle w:val="ab"/>
        <w:tblW w:w="9855" w:type="dxa"/>
        <w:tblLayout w:type="fixed"/>
        <w:tblLook w:val="04A0" w:firstRow="1" w:lastRow="0" w:firstColumn="1" w:lastColumn="0" w:noHBand="0" w:noVBand="1"/>
      </w:tblPr>
      <w:tblGrid>
        <w:gridCol w:w="9855"/>
      </w:tblGrid>
      <w:tr w:rsidR="00B1321C" w14:paraId="577F2E04" w14:textId="77777777">
        <w:tc>
          <w:tcPr>
            <w:tcW w:w="9855" w:type="dxa"/>
          </w:tcPr>
          <w:p w14:paraId="1D5D5036" w14:textId="77777777" w:rsidR="00B1321C" w:rsidRDefault="00257035">
            <w:pPr>
              <w:spacing w:after="180"/>
              <w:jc w:val="left"/>
              <w:rPr>
                <w:rFonts w:eastAsia="Times New Roman"/>
                <w:lang w:bidi="ar"/>
              </w:rPr>
            </w:pPr>
            <w:r>
              <w:rPr>
                <w:rFonts w:eastAsia="Times New Roman"/>
                <w:lang w:bidi="ar"/>
              </w:rPr>
              <w:t xml:space="preserve">TS 38.331 </w:t>
            </w:r>
          </w:p>
          <w:p w14:paraId="1FDADF24" w14:textId="77777777" w:rsidR="00B1321C" w:rsidRDefault="00257035">
            <w:pPr>
              <w:spacing w:after="180"/>
              <w:jc w:val="left"/>
              <w:rPr>
                <w:rFonts w:eastAsia="Times New Roman"/>
                <w:lang w:bidi="ar"/>
              </w:rPr>
            </w:pPr>
            <w:r>
              <w:rPr>
                <w:rFonts w:eastAsia="Times New Roman"/>
                <w:lang w:bidi="ar"/>
              </w:rPr>
              <w:t>6.3.3 UE capability information blocks</w:t>
            </w:r>
          </w:p>
          <w:p w14:paraId="2AAF3269" w14:textId="77777777" w:rsidR="00B1321C" w:rsidRDefault="00257035">
            <w:pPr>
              <w:pStyle w:val="4"/>
              <w:numPr>
                <w:ilvl w:val="255"/>
                <w:numId w:val="0"/>
              </w:numPr>
              <w:tabs>
                <w:tab w:val="clear" w:pos="864"/>
              </w:tabs>
              <w:outlineLvl w:val="3"/>
              <w:rPr>
                <w:sz w:val="20"/>
                <w:szCs w:val="20"/>
                <w:lang w:bidi="ar"/>
              </w:rPr>
            </w:pPr>
            <w:bookmarkStart w:id="0" w:name="_Toc131065221"/>
            <w:bookmarkStart w:id="1" w:name="_Toc60777439"/>
            <w:r w:rsidRPr="000D2DFD">
              <w:rPr>
                <w:sz w:val="20"/>
                <w:szCs w:val="20"/>
                <w:lang w:val="en-US"/>
              </w:rPr>
              <w:t>–</w:t>
            </w:r>
            <w:r w:rsidRPr="000D2DFD">
              <w:rPr>
                <w:sz w:val="20"/>
                <w:szCs w:val="20"/>
                <w:lang w:val="en-US"/>
              </w:rPr>
              <w:tab/>
            </w:r>
            <w:r w:rsidRPr="000D2DFD">
              <w:rPr>
                <w:i/>
                <w:sz w:val="20"/>
                <w:szCs w:val="20"/>
                <w:lang w:val="en-US"/>
              </w:rPr>
              <w:t>FeatureSetCombination</w:t>
            </w:r>
            <w:bookmarkEnd w:id="0"/>
            <w:bookmarkEnd w:id="1"/>
          </w:p>
          <w:p w14:paraId="1E2DA0D1" w14:textId="77777777" w:rsidR="00B1321C" w:rsidRDefault="00257035">
            <w:pPr>
              <w:spacing w:after="180"/>
              <w:jc w:val="left"/>
            </w:pPr>
            <w:r>
              <w:rPr>
                <w:rFonts w:eastAsia="Times New Roman"/>
                <w:lang w:val="en-US" w:bidi="ar"/>
              </w:rPr>
              <w:t xml:space="preserve">The </w:t>
            </w:r>
            <w:r>
              <w:rPr>
                <w:rFonts w:eastAsia="Times New Roman"/>
                <w:i/>
                <w:lang w:val="en-US" w:bidi="ar"/>
              </w:rPr>
              <w:t>FeatureSetUplink</w:t>
            </w:r>
            <w:r>
              <w:rPr>
                <w:rFonts w:eastAsia="Times New Roman"/>
                <w:lang w:val="en-US" w:bidi="ar"/>
              </w:rPr>
              <w:t xml:space="preserve"> and </w:t>
            </w:r>
            <w:r>
              <w:rPr>
                <w:rFonts w:eastAsia="Times New Roman"/>
                <w:i/>
                <w:lang w:val="en-US" w:bidi="ar"/>
              </w:rPr>
              <w:t>FeatureSetDownlink</w:t>
            </w:r>
            <w:r>
              <w:rPr>
                <w:rFonts w:eastAsia="Times New Roman"/>
                <w:lang w:val="en-US" w:bidi="ar"/>
              </w:rPr>
              <w:t xml:space="preserve"> referred to from the </w:t>
            </w:r>
            <w:r>
              <w:rPr>
                <w:rFonts w:eastAsia="Times New Roman"/>
                <w:i/>
                <w:lang w:val="en-US" w:bidi="ar"/>
              </w:rPr>
              <w:t>FeatureSet</w:t>
            </w:r>
            <w:r>
              <w:rPr>
                <w:rFonts w:eastAsia="Times New Roman"/>
                <w:lang w:val="en-US" w:bidi="ar"/>
              </w:rPr>
              <w:t xml:space="preserve"> comprise, among other information, a set of </w:t>
            </w:r>
            <w:r>
              <w:rPr>
                <w:rFonts w:eastAsia="Times New Roman"/>
                <w:i/>
                <w:lang w:val="en-US" w:bidi="ar"/>
              </w:rPr>
              <w:t>FeatureSetUplinkPerCC-Ids</w:t>
            </w:r>
            <w:r>
              <w:rPr>
                <w:rFonts w:eastAsia="Times New Roman"/>
                <w:lang w:val="en-US" w:bidi="ar"/>
              </w:rPr>
              <w:t xml:space="preserve"> and </w:t>
            </w:r>
            <w:r>
              <w:rPr>
                <w:rFonts w:eastAsia="Times New Roman"/>
                <w:i/>
                <w:lang w:val="en-US" w:bidi="ar"/>
              </w:rPr>
              <w:t>FeatureSetDownlinkPerCC-Ids</w:t>
            </w:r>
            <w:r>
              <w:rPr>
                <w:rFonts w:eastAsia="Times New Roman"/>
                <w:lang w:val="en-US" w:bidi="ar"/>
              </w:rPr>
              <w:t xml:space="preserve">. </w:t>
            </w:r>
            <w:r w:rsidRPr="000D2DFD">
              <w:rPr>
                <w:rFonts w:eastAsia="Times New Roman"/>
                <w:highlight w:val="yellow"/>
                <w:lang w:val="en-US" w:bidi="ar"/>
              </w:rPr>
              <w:t>The number of these per-CC IDs determines the number of carriers that the UE is able to aggregate contiguously in frequency domain in the corresponding band.</w:t>
            </w:r>
            <w:r>
              <w:rPr>
                <w:rFonts w:eastAsia="Times New Roman"/>
                <w:lang w:val="en-US" w:bidi="ar"/>
              </w:rPr>
              <w:t xml:space="preserve"> The number of carriers supported by the UE is also restricted by the bandwidth class indicated in the associated </w:t>
            </w:r>
            <w:r>
              <w:rPr>
                <w:rFonts w:eastAsia="Times New Roman"/>
                <w:i/>
                <w:lang w:val="en-US" w:bidi="ar"/>
              </w:rPr>
              <w:t>BandCombination</w:t>
            </w:r>
            <w:r>
              <w:rPr>
                <w:rFonts w:eastAsia="Times New Roman"/>
                <w:lang w:val="en-US" w:bidi="ar"/>
              </w:rPr>
              <w:t>, if present.</w:t>
            </w:r>
          </w:p>
        </w:tc>
      </w:tr>
    </w:tbl>
    <w:p w14:paraId="45154338" w14:textId="77777777" w:rsidR="00B1321C" w:rsidRDefault="00B1321C"/>
    <w:p w14:paraId="5BC0872B" w14:textId="77777777" w:rsidR="00B1321C" w:rsidRDefault="00257035">
      <w:r>
        <w:t xml:space="preserve">As shown in Figure-1, let’s assume the </w:t>
      </w:r>
      <w:r>
        <w:rPr>
          <w:i/>
        </w:rPr>
        <w:t>nonServingCellMBS</w:t>
      </w:r>
      <w:r>
        <w:t xml:space="preserve"> capability is indicated for a </w:t>
      </w:r>
      <w:r>
        <w:rPr>
          <w:i/>
        </w:rPr>
        <w:t xml:space="preserve">FeatureSet </w:t>
      </w:r>
      <w:r>
        <w:t xml:space="preserve">of band C. When the network determines that band C will be used by the UE for non-serving cell reception after receiving the MII, the other FeatureSets in the band combination (i.e., FS#1 for band A and FS#3 band B) in the same line could be used for unicast/multicast transmission. </w:t>
      </w:r>
    </w:p>
    <w:p w14:paraId="567B479A" w14:textId="77777777" w:rsidR="00B1321C" w:rsidRDefault="00257035">
      <w:bookmarkStart w:id="2" w:name="_Hlk131689122"/>
      <w:r>
        <w:rPr>
          <w:rFonts w:hint="eastAsia"/>
          <w:b/>
        </w:rPr>
        <w:t>P</w:t>
      </w:r>
      <w:r>
        <w:rPr>
          <w:b/>
        </w:rPr>
        <w:t xml:space="preserve">roposal 1: Indicate the capability of receiving MBS broadcast from a non-serving cell in </w:t>
      </w:r>
      <w:r>
        <w:rPr>
          <w:b/>
          <w:i/>
        </w:rPr>
        <w:t>FeatureSetDownlink</w:t>
      </w:r>
      <w:r>
        <w:rPr>
          <w:b/>
        </w:rPr>
        <w:t xml:space="preserve">. </w:t>
      </w:r>
      <w:bookmarkEnd w:id="2"/>
    </w:p>
    <w:p w14:paraId="5276B111" w14:textId="77777777" w:rsidR="00B1321C" w:rsidRDefault="00257035">
      <w:pPr>
        <w:jc w:val="center"/>
      </w:pPr>
      <w:r>
        <w:rPr>
          <w:noProof/>
          <w:lang w:val="en-US"/>
        </w:rPr>
        <w:drawing>
          <wp:inline distT="0" distB="0" distL="114300" distR="114300">
            <wp:extent cx="4410075" cy="15367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410075" cy="1536700"/>
                    </a:xfrm>
                    <a:prstGeom prst="rect">
                      <a:avLst/>
                    </a:prstGeom>
                  </pic:spPr>
                </pic:pic>
              </a:graphicData>
            </a:graphic>
          </wp:inline>
        </w:drawing>
      </w:r>
    </w:p>
    <w:p w14:paraId="2E73B603" w14:textId="77777777" w:rsidR="00B1321C" w:rsidRDefault="00257035">
      <w:pPr>
        <w:jc w:val="center"/>
      </w:pPr>
      <w:r>
        <w:t>Figure-1 BC and FSC for unicast/multicast in serving cell(s) and broadcast in non-serving cell(s)</w:t>
      </w:r>
    </w:p>
    <w:p w14:paraId="281A6CF4" w14:textId="77777777" w:rsidR="00B1321C" w:rsidRDefault="00B1321C"/>
    <w:p w14:paraId="18D29AA5" w14:textId="77777777" w:rsidR="00B1321C" w:rsidRDefault="00257035">
      <w:pPr>
        <w:pStyle w:val="2"/>
        <w:rPr>
          <w:rFonts w:eastAsia="宋体"/>
        </w:rPr>
      </w:pPr>
      <w:r>
        <w:rPr>
          <w:rFonts w:eastAsia="宋体" w:hint="eastAsia"/>
        </w:rPr>
        <w:t>M</w:t>
      </w:r>
      <w:r>
        <w:rPr>
          <w:rFonts w:eastAsia="宋体"/>
        </w:rPr>
        <w:t>II reporting procedure</w:t>
      </w:r>
    </w:p>
    <w:p w14:paraId="628362CA" w14:textId="77777777" w:rsidR="00B1321C" w:rsidRDefault="00257035">
      <w:pPr>
        <w:rPr>
          <w:b/>
          <w:strike/>
        </w:rPr>
      </w:pPr>
      <w:r>
        <w:t xml:space="preserve">In previous meetings, it was agreed to introduce MII reporting for non-serving cell broadcast reception, in which the broadcast frequency, subcarrier spacing and bandwidth can be included. </w:t>
      </w:r>
    </w:p>
    <w:p w14:paraId="56A213F7" w14:textId="51DB161C" w:rsidR="00B1321C" w:rsidRDefault="00257035">
      <w:r>
        <w:t xml:space="preserve">However, in some scenarios, the UE may not be able to acquire the additional information (e.g. SCS, bandwidth) from the non-serving cell when configured with certain CA/DC combination by the serving gNB, due to capability restrictions. For example, when the CA/DC combination configured for unicast/multicast transmission has occupied full hardware resource of the UE, no additional resource can be used to acquire the SIB from a non-serving cell. To avoid interruption of the on-going services, the additional information of the non-serving cell cannot be reported by the UE without proper configuration from the NW. </w:t>
      </w:r>
    </w:p>
    <w:p w14:paraId="4AC1A1DA" w14:textId="5CEC04FD" w:rsidR="00B1321C" w:rsidRDefault="00257035">
      <w:r>
        <w:t>Currently in legacy NR, to report the CGI for inter-frequency or inter-RAT, the UE can be configured by the network to use autonomous gap. Similar mechanism (a configured gap) can be used by the UE to acquire the additional information from the non-serving cell in case this cannot be done while performing the communication with the serving cell. To be specific, the UE may report all the information in the MII if available. But if the additional information is not available, the UE can only report the interested broadcast frequency in the MII. In this case, the NW should configure a gap to the UE in order to let the UE acquire the additional information from the non-serving cell. After that, the additional information can be reported to the NW.</w:t>
      </w:r>
    </w:p>
    <w:p w14:paraId="016B10A6" w14:textId="395BE98E" w:rsidR="00B1321C" w:rsidRDefault="00257035">
      <w:pPr>
        <w:rPr>
          <w:b/>
        </w:rPr>
      </w:pPr>
      <w:r>
        <w:rPr>
          <w:b/>
        </w:rPr>
        <w:t>Proposal 2</w:t>
      </w:r>
      <w:r>
        <w:rPr>
          <w:b/>
        </w:rPr>
        <w:t>：</w:t>
      </w:r>
      <w:r>
        <w:rPr>
          <w:b/>
        </w:rPr>
        <w:t>In case the additional information (e.g. SCS, bandwidth) is not available (e.g. the UE is not able to read SIB1 from the non-serving cell), the UE only reports frequency information in the MII. The NW may configure a gap to let the UE acquire the additional information from non-serving cell and report it once available.</w:t>
      </w:r>
    </w:p>
    <w:p w14:paraId="7DF1B891" w14:textId="77777777" w:rsidR="00B1321C" w:rsidRDefault="00257035">
      <w:pPr>
        <w:pStyle w:val="2"/>
        <w:rPr>
          <w:rFonts w:eastAsia="宋体"/>
        </w:rPr>
      </w:pPr>
      <w:r>
        <w:rPr>
          <w:rFonts w:eastAsia="宋体" w:hint="eastAsia"/>
        </w:rPr>
        <w:t>M</w:t>
      </w:r>
      <w:r>
        <w:rPr>
          <w:rFonts w:eastAsia="宋体"/>
        </w:rPr>
        <w:t>II content</w:t>
      </w:r>
    </w:p>
    <w:p w14:paraId="3D42974D" w14:textId="77777777" w:rsidR="00B1321C" w:rsidRDefault="00257035">
      <w:r>
        <w:t>In our understanding, the MBS broadcast configuration in the non-serving cell should be aligned with the MBS broadcast configuration used for serving cell in Rel-17. Therefore, if SCS is included in the MII for shared processing, it should be the SCS of the initial BWP (i.e. CORESET#0) of the non-serving cell. Besides, for the bandwidth included in the MII, it was proposed to be either the cell bandwidth or the CFR bandwidth of the non-serving cell. However, it should be noted that when the UE camps on a cell, the UE only needs to support a bandwidth which is larger than initial BWP and smaller than or equal to the cell bandwidth, according to the current RRC spec:</w:t>
      </w:r>
    </w:p>
    <w:tbl>
      <w:tblPr>
        <w:tblStyle w:val="ab"/>
        <w:tblW w:w="9629" w:type="dxa"/>
        <w:tblLayout w:type="fixed"/>
        <w:tblLook w:val="04A0" w:firstRow="1" w:lastRow="0" w:firstColumn="1" w:lastColumn="0" w:noHBand="0" w:noVBand="1"/>
      </w:tblPr>
      <w:tblGrid>
        <w:gridCol w:w="9629"/>
      </w:tblGrid>
      <w:tr w:rsidR="00B1321C" w14:paraId="64041121" w14:textId="77777777">
        <w:tc>
          <w:tcPr>
            <w:tcW w:w="9629" w:type="dxa"/>
          </w:tcPr>
          <w:p w14:paraId="3EB32BEE" w14:textId="77777777" w:rsidR="00B1321C" w:rsidRDefault="00257035">
            <w:pPr>
              <w:pStyle w:val="B2"/>
              <w:spacing w:after="0"/>
              <w:rPr>
                <w:rFonts w:ascii="Times New Roman" w:hAnsi="Times New Roman" w:cs="Times New Roman"/>
              </w:rPr>
            </w:pPr>
            <w:r>
              <w:rPr>
                <w:rFonts w:ascii="Times New Roman" w:hAnsi="Times New Roman" w:cs="Times New Roman"/>
              </w:rPr>
              <w:t>2&gt;</w:t>
            </w:r>
            <w:r>
              <w:rPr>
                <w:rFonts w:ascii="Times New Roman" w:hAnsi="Times New Roman" w:cs="Times New Roman"/>
              </w:rPr>
              <w:tab/>
              <w:t>if the UE supports a downlink channel bandwidth with a maximum transmission bandwidth configuration (see TS 38.101-1 [15] and TS 38.101-2 [39]) which</w:t>
            </w:r>
          </w:p>
          <w:p w14:paraId="45D031BD" w14:textId="77777777" w:rsidR="00B1321C" w:rsidRDefault="00257035">
            <w:pPr>
              <w:pStyle w:val="B3"/>
              <w:spacing w:after="0"/>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is smaller than or equal to the </w:t>
            </w:r>
            <w:r>
              <w:rPr>
                <w:rFonts w:ascii="Times New Roman" w:hAnsi="Times New Roman" w:cs="Times New Roman"/>
                <w:i/>
              </w:rPr>
              <w:t>carrierBandwidth</w:t>
            </w:r>
            <w:r>
              <w:rPr>
                <w:rFonts w:ascii="Times New Roman" w:hAnsi="Times New Roman" w:cs="Times New Roman"/>
              </w:rPr>
              <w:t xml:space="preserve"> (indicated in </w:t>
            </w:r>
            <w:r>
              <w:rPr>
                <w:rFonts w:ascii="Times New Roman" w:hAnsi="Times New Roman" w:cs="Times New Roman"/>
                <w:i/>
              </w:rPr>
              <w:t>downlinkConfigCommon</w:t>
            </w:r>
            <w:r>
              <w:rPr>
                <w:rFonts w:ascii="Times New Roman" w:hAnsi="Times New Roman" w:cs="Times New Roman"/>
              </w:rPr>
              <w:t xml:space="preserve"> for the SCS of the initial downlink BWP or, for RedCap UE, of the RedCap-specific initial downlink BWP if configured), and which</w:t>
            </w:r>
          </w:p>
          <w:p w14:paraId="5F1102A4" w14:textId="77777777" w:rsidR="00B1321C" w:rsidRDefault="00257035">
            <w:pPr>
              <w:pStyle w:val="B3"/>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is wider than or equal to the bandwidth of the initial downlink BWP or, for RedCap UE, of the </w:t>
            </w:r>
            <w:r>
              <w:rPr>
                <w:rFonts w:ascii="Times New Roman" w:hAnsi="Times New Roman" w:cs="Times New Roman"/>
              </w:rPr>
              <w:lastRenderedPageBreak/>
              <w:t>RedCap-specific initial downlink BWP if configured, and</w:t>
            </w:r>
          </w:p>
          <w:p w14:paraId="2A9F2565" w14:textId="77777777" w:rsidR="00B1321C" w:rsidRDefault="00257035">
            <w:pPr>
              <w:pStyle w:val="B3"/>
              <w:rPr>
                <w:rFonts w:ascii="Times New Roman" w:hAnsi="Times New Roman" w:cs="Times New Roman"/>
              </w:rPr>
            </w:pPr>
            <w:r>
              <w:rPr>
                <w:rFonts w:ascii="Times New Roman" w:hAnsi="Times New Roman" w:cs="Times New Roman"/>
              </w:rPr>
              <w:t>……</w:t>
            </w:r>
          </w:p>
          <w:p w14:paraId="366A6909" w14:textId="77777777" w:rsidR="00B1321C" w:rsidRDefault="00257035">
            <w:pPr>
              <w:pStyle w:val="B4"/>
              <w:ind w:left="1600" w:hanging="400"/>
            </w:pPr>
            <w:r>
              <w:t>4&gt;</w:t>
            </w:r>
            <w:r>
              <w:tab/>
              <w:t>apply a supported downlink channel bandwidth with a maximum transmission bandwidth which</w:t>
            </w:r>
          </w:p>
          <w:p w14:paraId="2B4C53D7" w14:textId="77777777" w:rsidR="00B1321C" w:rsidRDefault="00257035">
            <w:pPr>
              <w:pStyle w:val="B5"/>
              <w:ind w:left="2000" w:hanging="400"/>
            </w:pPr>
            <w:r>
              <w:t xml:space="preserve">- is contained within the </w:t>
            </w:r>
            <w:r>
              <w:rPr>
                <w:i/>
              </w:rPr>
              <w:t>carrierBandwidth</w:t>
            </w:r>
            <w:r>
              <w:t xml:space="preserve"> indicated in </w:t>
            </w:r>
            <w:r>
              <w:rPr>
                <w:i/>
              </w:rPr>
              <w:t>downlinkConfigCommon</w:t>
            </w:r>
            <w:r>
              <w:t xml:space="preserve"> for the SCS of the initial downlink BWP or, for RedCap UEs, RedCap-specific initial downlink BWP, if configured, and which</w:t>
            </w:r>
          </w:p>
          <w:p w14:paraId="2A392338" w14:textId="77777777" w:rsidR="00B1321C" w:rsidRDefault="00257035">
            <w:pPr>
              <w:pStyle w:val="B5"/>
              <w:ind w:left="2000" w:hanging="400"/>
            </w:pPr>
            <w:r>
              <w:t>- is wider than or equal to the bandwidth of the initial BWP for the downlink or, for a RedCap UE, of the RedCap-specific initial downlink BWP if configured;</w:t>
            </w:r>
          </w:p>
          <w:p w14:paraId="6D08D317" w14:textId="77777777" w:rsidR="00B1321C" w:rsidRDefault="00257035">
            <w:pPr>
              <w:pStyle w:val="B4"/>
              <w:ind w:left="1600" w:hanging="400"/>
            </w:pPr>
            <w:r>
              <w:t>4&gt;</w:t>
            </w:r>
            <w:r>
              <w:tab/>
              <w:t xml:space="preserve">select the first frequency band in the </w:t>
            </w:r>
            <w:r>
              <w:rPr>
                <w:i/>
              </w:rPr>
              <w:t>frequencyBandList</w:t>
            </w:r>
            <w:r>
              <w:t xml:space="preserve">, for FDD from </w:t>
            </w:r>
            <w:r>
              <w:rPr>
                <w:i/>
              </w:rPr>
              <w:t>frequencyBandList</w:t>
            </w:r>
            <w:r>
              <w:t xml:space="preserve"> for uplink, or for TDD from </w:t>
            </w:r>
            <w:r>
              <w:rPr>
                <w:i/>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if present;</w:t>
            </w:r>
          </w:p>
          <w:p w14:paraId="0696F898" w14:textId="77777777" w:rsidR="00B1321C" w:rsidRDefault="00257035">
            <w:pPr>
              <w:pStyle w:val="a9"/>
              <w:overflowPunct w:val="0"/>
              <w:autoSpaceDE w:val="0"/>
              <w:autoSpaceDN w:val="0"/>
              <w:adjustRightInd w:val="0"/>
              <w:spacing w:before="0" w:beforeAutospacing="0" w:after="180" w:afterAutospacing="0"/>
              <w:ind w:left="1418" w:hanging="284"/>
              <w:rPr>
                <w:lang w:val="en-US"/>
              </w:rPr>
            </w:pPr>
            <w:r>
              <w:rPr>
                <w:rFonts w:eastAsia="Times New Roman"/>
                <w:sz w:val="20"/>
                <w:szCs w:val="20"/>
                <w:lang w:val="en-US" w:bidi="ar"/>
              </w:rPr>
              <w:t>4&gt;</w:t>
            </w:r>
            <w:r>
              <w:rPr>
                <w:rFonts w:eastAsia="Times New Roman"/>
                <w:sz w:val="20"/>
                <w:szCs w:val="20"/>
                <w:lang w:val="en-US" w:bidi="ar"/>
              </w:rPr>
              <w:tab/>
              <w:t xml:space="preserve">forward the </w:t>
            </w:r>
            <w:r>
              <w:rPr>
                <w:rFonts w:eastAsia="Times New Roman"/>
                <w:i/>
                <w:sz w:val="20"/>
                <w:szCs w:val="20"/>
                <w:lang w:val="en-US" w:bidi="ar"/>
              </w:rPr>
              <w:t>cellIdentity</w:t>
            </w:r>
            <w:r>
              <w:rPr>
                <w:rFonts w:eastAsia="Times New Roman"/>
                <w:sz w:val="20"/>
                <w:szCs w:val="20"/>
                <w:lang w:val="en-US" w:bidi="ar"/>
              </w:rPr>
              <w:t xml:space="preserve"> to upper layers;</w:t>
            </w:r>
          </w:p>
          <w:p w14:paraId="68CB8D99" w14:textId="77777777" w:rsidR="00B1321C" w:rsidRDefault="00257035">
            <w:pPr>
              <w:pStyle w:val="B3"/>
              <w:rPr>
                <w:rFonts w:ascii="Times New Roman" w:hAnsi="Times New Roman" w:cs="Times New Roman"/>
              </w:rPr>
            </w:pPr>
            <w:r>
              <w:rPr>
                <w:rFonts w:ascii="Times New Roman" w:hAnsi="Times New Roman" w:cs="Times New Roman"/>
              </w:rPr>
              <w:t>……</w:t>
            </w:r>
          </w:p>
        </w:tc>
      </w:tr>
    </w:tbl>
    <w:p w14:paraId="0B120412" w14:textId="19DE9BAC" w:rsidR="00B1321C" w:rsidRDefault="00257035" w:rsidP="000D2DFD">
      <w:pPr>
        <w:spacing w:beforeLines="50" w:before="120"/>
      </w:pPr>
      <w:r>
        <w:lastRenderedPageBreak/>
        <w:t xml:space="preserve">Based on the 38.331 text, it is clear that the channel bandwidth the UE </w:t>
      </w:r>
      <w:r w:rsidR="000D2DFD">
        <w:t>actually</w:t>
      </w:r>
      <w:r>
        <w:t xml:space="preserve"> uses may NOT be the bandwidth of initial BWP or CFR. In MBS scenario, the serving gNB should decide the available unicast capability based on the bandwidth the UE actually uses for broadcast reception in non-serving cell. For example, the CFR configured by the non-serving cell for broadcast reception is 30MH</w:t>
      </w:r>
      <w:r>
        <w:rPr>
          <w:rFonts w:hint="eastAsia"/>
        </w:rPr>
        <w:t>z,</w:t>
      </w:r>
      <w:r>
        <w:t xml:space="preserve"> but the UE may actually use 40MHz channel bandwidth to receive broadcast if 30MHz is not supported by the UE. We understand the channel bandwidth reported in the MII should be aligned with the signalled bandwidth capability in UE capability information. This will give NW more precise information about how much processing capability can be left to unicast/multicast scheduling. </w:t>
      </w:r>
    </w:p>
    <w:p w14:paraId="33137AED" w14:textId="77777777" w:rsidR="00B1321C" w:rsidRDefault="00257035" w:rsidP="000D2DFD">
      <w:pPr>
        <w:spacing w:beforeLines="50" w:before="120"/>
        <w:rPr>
          <w:b/>
          <w:i/>
        </w:rPr>
      </w:pPr>
      <w:r>
        <w:rPr>
          <w:b/>
        </w:rPr>
        <w:t>Observation: When the UE camps on a cell, the actual channel bandwidth used by the UE may NOT be the bandwidth of initial BWP or CFR.</w:t>
      </w:r>
    </w:p>
    <w:p w14:paraId="0D5FB629" w14:textId="05BC42E0" w:rsidR="00B1321C" w:rsidRDefault="00257035">
      <w:pPr>
        <w:rPr>
          <w:i/>
        </w:rPr>
      </w:pPr>
      <w:r>
        <w:t xml:space="preserve">Therefore, when the UE performs broadcast reception from the non-serving cell, the indicated bandwidth in the MII should be the channel bandwidth actually used by the UE, which covers the broadcast CFR bandwidth but can be smaller than the carrier bandwidth of the non-serving cell. </w:t>
      </w:r>
    </w:p>
    <w:p w14:paraId="2BDBF120" w14:textId="77777777" w:rsidR="00B1321C" w:rsidRDefault="00257035">
      <w:pPr>
        <w:rPr>
          <w:b/>
        </w:rPr>
      </w:pPr>
      <w:r>
        <w:rPr>
          <w:b/>
        </w:rPr>
        <w:t>Proposal 3: The SCS indicated in the MII is the SCS of the initial BWP of the non-serving cell where the UE intends to receive MBS broadcast.</w:t>
      </w:r>
    </w:p>
    <w:p w14:paraId="2FBE353D" w14:textId="77777777" w:rsidR="00B1321C" w:rsidRDefault="00257035">
      <w:pPr>
        <w:rPr>
          <w:b/>
        </w:rPr>
      </w:pPr>
      <w:r>
        <w:rPr>
          <w:b/>
        </w:rPr>
        <w:t>Proposal 4: The bandwidth indicated in the MII is the channel bandwidth used by the UE for broadcast reception in the non-serving cell, which covers the CFR bandwidth.</w:t>
      </w:r>
    </w:p>
    <w:p w14:paraId="2F0D2C1E" w14:textId="225E36C3" w:rsidR="00B1321C" w:rsidRDefault="00257035">
      <w:r>
        <w:t xml:space="preserve">To assist the gNB to select a correct feature set for broadcast reception, the gNB needs to know all the information that is used to uniquely define a feature set which includes the required bandwidth/SCS/MIMO layer/MCS for broadcast as shown in the figure below: </w:t>
      </w:r>
    </w:p>
    <w:p w14:paraId="27625544" w14:textId="77777777" w:rsidR="00B1321C" w:rsidRDefault="00257035">
      <w:pPr>
        <w:jc w:val="center"/>
      </w:pPr>
      <w:r>
        <w:rPr>
          <w:noProof/>
          <w:lang w:val="en-US"/>
        </w:rPr>
        <w:drawing>
          <wp:inline distT="0" distB="0" distL="0" distR="0">
            <wp:extent cx="5507355" cy="1497965"/>
            <wp:effectExtent l="0" t="0" r="0" b="698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5512295" cy="1499231"/>
                    </a:xfrm>
                    <a:prstGeom prst="rect">
                      <a:avLst/>
                    </a:prstGeom>
                  </pic:spPr>
                </pic:pic>
              </a:graphicData>
            </a:graphic>
          </wp:inline>
        </w:drawing>
      </w:r>
    </w:p>
    <w:p w14:paraId="026DC76E" w14:textId="77777777" w:rsidR="00B1321C" w:rsidRDefault="00257035">
      <w:pPr>
        <w:jc w:val="center"/>
        <w:rPr>
          <w:b/>
        </w:rPr>
      </w:pPr>
      <w:r>
        <w:rPr>
          <w:rFonts w:hint="eastAsia"/>
        </w:rPr>
        <w:t>F</w:t>
      </w:r>
      <w:r>
        <w:t xml:space="preserve">igure-2 UE capability parameters within </w:t>
      </w:r>
      <w:r w:rsidRPr="000D2DFD">
        <w:rPr>
          <w:i/>
        </w:rPr>
        <w:t>FeatureSetDownlinkPerCC</w:t>
      </w:r>
    </w:p>
    <w:p w14:paraId="48888381" w14:textId="6D73A7AA" w:rsidR="00B1321C" w:rsidRDefault="00257035">
      <w:r>
        <w:t xml:space="preserve">Since the MIMO layer for broadcast is fixed to be 1 layer, it is not needed to be indicated for FSPC selection. In addition to the bandwidth and the SCS, modulation order is another parameter needed for the serving gNB to uniquely identify the FSPC used for broadcast reception. It should be noted that 64QAM is only the mandatory capability for single CC case, however, for CA scenario between unicast and broadcast, the modulation order capability reported in a specific FSPC </w:t>
      </w:r>
      <w:r>
        <w:lastRenderedPageBreak/>
        <w:t>should be left to UE decision. The non-serving cell may use a lower modulation order than 64QAM, which is necessary to be reported in the MII.</w:t>
      </w:r>
    </w:p>
    <w:p w14:paraId="3829BCB7" w14:textId="77777777" w:rsidR="00B1321C" w:rsidRDefault="00257035">
      <w:pPr>
        <w:rPr>
          <w:b/>
        </w:rPr>
      </w:pPr>
      <w:r>
        <w:rPr>
          <w:b/>
        </w:rPr>
        <w:t>Proposal 5: Include modulation order in the MII for shared processing.</w:t>
      </w:r>
    </w:p>
    <w:p w14:paraId="12995CA0" w14:textId="77777777" w:rsidR="00B1321C" w:rsidRDefault="00257035">
      <w:pPr>
        <w:pStyle w:val="1"/>
        <w:rPr>
          <w:rFonts w:eastAsia="Malgun Gothic"/>
        </w:rPr>
      </w:pPr>
      <w:r>
        <w:rPr>
          <w:rFonts w:eastAsia="Malgun Gothic"/>
        </w:rPr>
        <w:t>Conclusion</w:t>
      </w:r>
    </w:p>
    <w:p w14:paraId="6D45C1E7" w14:textId="77777777" w:rsidR="000D2DFD" w:rsidRDefault="00257035" w:rsidP="000D2DFD">
      <w:pPr>
        <w:pStyle w:val="a5"/>
      </w:pPr>
      <w:r>
        <w:t>In this contribution, we provide the following proposals:</w:t>
      </w:r>
    </w:p>
    <w:p w14:paraId="546A24BC" w14:textId="77777777" w:rsidR="000D2DFD" w:rsidRDefault="000D2DFD" w:rsidP="000D2DFD">
      <w:pPr>
        <w:pStyle w:val="a5"/>
      </w:pPr>
    </w:p>
    <w:p w14:paraId="1CC7F9E9" w14:textId="282CA95D" w:rsidR="000D2DFD" w:rsidRPr="000D2DFD" w:rsidRDefault="000D2DFD" w:rsidP="000D2DFD">
      <w:pPr>
        <w:pStyle w:val="a5"/>
        <w:rPr>
          <w:i/>
          <w:u w:val="single"/>
        </w:rPr>
      </w:pPr>
      <w:r w:rsidRPr="000D2DFD">
        <w:rPr>
          <w:i/>
          <w:u w:val="single"/>
        </w:rPr>
        <w:t xml:space="preserve">Granularity of </w:t>
      </w:r>
      <w:r w:rsidRPr="000D2DFD">
        <w:rPr>
          <w:rFonts w:hint="eastAsia"/>
          <w:i/>
          <w:u w:val="single"/>
        </w:rPr>
        <w:t>U</w:t>
      </w:r>
      <w:r w:rsidRPr="000D2DFD">
        <w:rPr>
          <w:i/>
          <w:u w:val="single"/>
        </w:rPr>
        <w:t>E capability signalling</w:t>
      </w:r>
    </w:p>
    <w:p w14:paraId="267FBA6A" w14:textId="77777777" w:rsidR="000D2DFD" w:rsidRDefault="000D2DFD">
      <w:pPr>
        <w:rPr>
          <w:b/>
        </w:rPr>
      </w:pPr>
      <w:r>
        <w:rPr>
          <w:rFonts w:hint="eastAsia"/>
          <w:b/>
        </w:rPr>
        <w:t>P</w:t>
      </w:r>
      <w:r>
        <w:rPr>
          <w:b/>
        </w:rPr>
        <w:t xml:space="preserve">roposal 1: Indicate the capability of receiving MBS broadcast from a non-serving cell in </w:t>
      </w:r>
      <w:r>
        <w:rPr>
          <w:b/>
          <w:i/>
        </w:rPr>
        <w:t>FeatureSetDownlink</w:t>
      </w:r>
      <w:r>
        <w:rPr>
          <w:b/>
        </w:rPr>
        <w:t>.</w:t>
      </w:r>
    </w:p>
    <w:p w14:paraId="79EC1F7A" w14:textId="77777777" w:rsidR="000D2DFD" w:rsidRDefault="000D2DFD" w:rsidP="000D2DFD">
      <w:pPr>
        <w:pStyle w:val="a5"/>
        <w:rPr>
          <w:i/>
          <w:u w:val="single"/>
        </w:rPr>
      </w:pPr>
    </w:p>
    <w:p w14:paraId="2A10E593" w14:textId="728081A1" w:rsidR="000D2DFD" w:rsidRPr="000D2DFD" w:rsidRDefault="000D2DFD" w:rsidP="000D2DFD">
      <w:pPr>
        <w:pStyle w:val="a5"/>
        <w:rPr>
          <w:rFonts w:hint="eastAsia"/>
          <w:i/>
          <w:u w:val="single"/>
        </w:rPr>
      </w:pPr>
      <w:r w:rsidRPr="000D2DFD">
        <w:rPr>
          <w:rFonts w:hint="eastAsia"/>
          <w:i/>
          <w:u w:val="single"/>
        </w:rPr>
        <w:t>M</w:t>
      </w:r>
      <w:r w:rsidRPr="000D2DFD">
        <w:rPr>
          <w:i/>
          <w:u w:val="single"/>
        </w:rPr>
        <w:t>II reporting procedure</w:t>
      </w:r>
    </w:p>
    <w:p w14:paraId="1448F7E5" w14:textId="77777777" w:rsidR="000D2DFD" w:rsidRDefault="000D2DFD" w:rsidP="000D2DFD">
      <w:pPr>
        <w:rPr>
          <w:b/>
        </w:rPr>
      </w:pPr>
      <w:r>
        <w:rPr>
          <w:b/>
        </w:rPr>
        <w:t>Proposal 2</w:t>
      </w:r>
      <w:r>
        <w:rPr>
          <w:b/>
        </w:rPr>
        <w:t>：</w:t>
      </w:r>
      <w:r>
        <w:rPr>
          <w:b/>
        </w:rPr>
        <w:t>In case the additional information (e.g. SCS, bandwidth) is not available (e.g. the UE is not able to read SIB1 from the non-serving cell), the UE only reports frequency information in the MII. The NW may configure a gap to let the UE acquire the additional information from non-serving cell and report it once available.</w:t>
      </w:r>
    </w:p>
    <w:p w14:paraId="46F9F67F" w14:textId="77777777" w:rsidR="000D2DFD" w:rsidRDefault="000D2DFD" w:rsidP="000D2DFD">
      <w:pPr>
        <w:pStyle w:val="a5"/>
        <w:rPr>
          <w:i/>
          <w:u w:val="single"/>
        </w:rPr>
      </w:pPr>
    </w:p>
    <w:p w14:paraId="5DCF7C19" w14:textId="7E724D76" w:rsidR="000D2DFD" w:rsidRPr="000D2DFD" w:rsidRDefault="000D2DFD" w:rsidP="000D2DFD">
      <w:pPr>
        <w:pStyle w:val="a5"/>
        <w:rPr>
          <w:rFonts w:hint="eastAsia"/>
          <w:i/>
          <w:u w:val="single"/>
        </w:rPr>
      </w:pPr>
      <w:r w:rsidRPr="000D2DFD">
        <w:rPr>
          <w:rFonts w:hint="eastAsia"/>
          <w:i/>
          <w:u w:val="single"/>
        </w:rPr>
        <w:t>M</w:t>
      </w:r>
      <w:r w:rsidRPr="000D2DFD">
        <w:rPr>
          <w:i/>
          <w:u w:val="single"/>
        </w:rPr>
        <w:t>II content</w:t>
      </w:r>
    </w:p>
    <w:p w14:paraId="081A6AB2" w14:textId="4320D671" w:rsidR="000D2DFD" w:rsidRPr="000D2DFD" w:rsidRDefault="000D2DFD" w:rsidP="000D2DFD">
      <w:pPr>
        <w:spacing w:beforeLines="50" w:before="120" w:after="180"/>
        <w:rPr>
          <w:rFonts w:hint="eastAsia"/>
          <w:b/>
          <w:i/>
        </w:rPr>
      </w:pPr>
      <w:r>
        <w:rPr>
          <w:b/>
        </w:rPr>
        <w:t>Observation: When the UE camps on a cell, the actual channel bandwidth used by the UE may NOT be the bandwidth of initial BWP or CFR.</w:t>
      </w:r>
    </w:p>
    <w:p w14:paraId="57663C4F" w14:textId="77777777" w:rsidR="000D2DFD" w:rsidRDefault="000D2DFD" w:rsidP="000D2DFD">
      <w:pPr>
        <w:spacing w:after="180"/>
        <w:rPr>
          <w:b/>
        </w:rPr>
      </w:pPr>
      <w:r>
        <w:rPr>
          <w:b/>
        </w:rPr>
        <w:t>Proposal 3: The SCS indicated in the</w:t>
      </w:r>
      <w:bookmarkStart w:id="3" w:name="_GoBack"/>
      <w:bookmarkEnd w:id="3"/>
      <w:r>
        <w:rPr>
          <w:b/>
        </w:rPr>
        <w:t xml:space="preserve"> MII is the SCS of the initial BWP of the non-serving cell where the UE intends to receive MBS broadcast.</w:t>
      </w:r>
    </w:p>
    <w:p w14:paraId="08249605" w14:textId="77777777" w:rsidR="000D2DFD" w:rsidRDefault="000D2DFD" w:rsidP="000D2DFD">
      <w:pPr>
        <w:spacing w:after="180"/>
        <w:rPr>
          <w:b/>
        </w:rPr>
      </w:pPr>
      <w:r>
        <w:rPr>
          <w:b/>
        </w:rPr>
        <w:t>Proposal 4: The bandwidth indicated in the MII is the channel bandwidth used by the UE for broadcast reception in the non-serving cell, which covers the CFR bandwidth.</w:t>
      </w:r>
    </w:p>
    <w:p w14:paraId="3CE6DA0D" w14:textId="77777777" w:rsidR="000D2DFD" w:rsidRDefault="000D2DFD" w:rsidP="000D2DFD">
      <w:pPr>
        <w:spacing w:after="180"/>
        <w:rPr>
          <w:b/>
        </w:rPr>
      </w:pPr>
      <w:r>
        <w:rPr>
          <w:b/>
        </w:rPr>
        <w:t>Proposal 5: Include modulation order in the MII for shared processing.</w:t>
      </w:r>
    </w:p>
    <w:p w14:paraId="37323251" w14:textId="77777777" w:rsidR="00B1321C" w:rsidRDefault="00257035">
      <w:pPr>
        <w:pStyle w:val="1"/>
        <w:rPr>
          <w:rFonts w:eastAsia="Malgun Gothic"/>
        </w:rPr>
      </w:pPr>
      <w:r>
        <w:rPr>
          <w:rFonts w:eastAsia="Malgun Gothic"/>
        </w:rPr>
        <w:t>References</w:t>
      </w:r>
    </w:p>
    <w:p w14:paraId="1BC10CE5" w14:textId="77777777" w:rsidR="00B1321C" w:rsidRDefault="00257035">
      <w:r>
        <w:t>[1] RAN2#121bis-e chairman’s note.</w:t>
      </w:r>
    </w:p>
    <w:p w14:paraId="58185AE6" w14:textId="77777777" w:rsidR="00B1321C" w:rsidRDefault="00257035">
      <w:r>
        <w:t>[2] R2-2303970, Discussion on shared processing for MBS broadcast and unicast reception, Huawei, HiSilicon.</w:t>
      </w:r>
    </w:p>
    <w:sectPr w:rsidR="00B1321C">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CC3BF" w14:textId="77777777" w:rsidR="00CE7703" w:rsidRDefault="00CE7703" w:rsidP="006310EB">
      <w:pPr>
        <w:spacing w:after="0"/>
      </w:pPr>
      <w:r>
        <w:separator/>
      </w:r>
    </w:p>
  </w:endnote>
  <w:endnote w:type="continuationSeparator" w:id="0">
    <w:p w14:paraId="27A9B0DC" w14:textId="77777777" w:rsidR="00CE7703" w:rsidRDefault="00CE7703" w:rsidP="00631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67DC3" w14:textId="77777777" w:rsidR="00CE7703" w:rsidRDefault="00CE7703" w:rsidP="006310EB">
      <w:pPr>
        <w:spacing w:after="0"/>
      </w:pPr>
      <w:r>
        <w:separator/>
      </w:r>
    </w:p>
  </w:footnote>
  <w:footnote w:type="continuationSeparator" w:id="0">
    <w:p w14:paraId="3B96F0FF" w14:textId="77777777" w:rsidR="00CE7703" w:rsidRDefault="00CE7703" w:rsidP="006310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lang w:val="en-US"/>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CF4"/>
    <w:rsid w:val="B5371345"/>
    <w:rsid w:val="BFDD1106"/>
    <w:rsid w:val="CCF77372"/>
    <w:rsid w:val="F6BDF918"/>
    <w:rsid w:val="00001195"/>
    <w:rsid w:val="00003982"/>
    <w:rsid w:val="00004D31"/>
    <w:rsid w:val="0000500F"/>
    <w:rsid w:val="00006CFC"/>
    <w:rsid w:val="00007F8B"/>
    <w:rsid w:val="00012B7D"/>
    <w:rsid w:val="00013F9F"/>
    <w:rsid w:val="0002556D"/>
    <w:rsid w:val="00026549"/>
    <w:rsid w:val="00026790"/>
    <w:rsid w:val="000272C0"/>
    <w:rsid w:val="0002783C"/>
    <w:rsid w:val="000321F3"/>
    <w:rsid w:val="000325A9"/>
    <w:rsid w:val="000363CC"/>
    <w:rsid w:val="00036520"/>
    <w:rsid w:val="000369A7"/>
    <w:rsid w:val="0004047A"/>
    <w:rsid w:val="00041DB9"/>
    <w:rsid w:val="000449D8"/>
    <w:rsid w:val="00045CC4"/>
    <w:rsid w:val="00046906"/>
    <w:rsid w:val="000470D1"/>
    <w:rsid w:val="00052E72"/>
    <w:rsid w:val="00053048"/>
    <w:rsid w:val="000555E4"/>
    <w:rsid w:val="000556B6"/>
    <w:rsid w:val="00056BFC"/>
    <w:rsid w:val="0006138F"/>
    <w:rsid w:val="000701A7"/>
    <w:rsid w:val="00072099"/>
    <w:rsid w:val="00081B22"/>
    <w:rsid w:val="00091235"/>
    <w:rsid w:val="000942D7"/>
    <w:rsid w:val="000967F0"/>
    <w:rsid w:val="000A399E"/>
    <w:rsid w:val="000A4435"/>
    <w:rsid w:val="000A4594"/>
    <w:rsid w:val="000B1DB1"/>
    <w:rsid w:val="000C32ED"/>
    <w:rsid w:val="000D2989"/>
    <w:rsid w:val="000D2DFD"/>
    <w:rsid w:val="000D52BD"/>
    <w:rsid w:val="000E1C56"/>
    <w:rsid w:val="000E4ACE"/>
    <w:rsid w:val="000E6361"/>
    <w:rsid w:val="000F1159"/>
    <w:rsid w:val="000F13EC"/>
    <w:rsid w:val="000F6961"/>
    <w:rsid w:val="00100DEA"/>
    <w:rsid w:val="00102130"/>
    <w:rsid w:val="00102594"/>
    <w:rsid w:val="00104C22"/>
    <w:rsid w:val="00104DA6"/>
    <w:rsid w:val="001057CC"/>
    <w:rsid w:val="00110A47"/>
    <w:rsid w:val="001148F9"/>
    <w:rsid w:val="0011611A"/>
    <w:rsid w:val="001216EB"/>
    <w:rsid w:val="00123340"/>
    <w:rsid w:val="0012374B"/>
    <w:rsid w:val="00124864"/>
    <w:rsid w:val="00125782"/>
    <w:rsid w:val="00126FB0"/>
    <w:rsid w:val="00132EFF"/>
    <w:rsid w:val="00133266"/>
    <w:rsid w:val="001347BB"/>
    <w:rsid w:val="00136511"/>
    <w:rsid w:val="00136A26"/>
    <w:rsid w:val="001405B1"/>
    <w:rsid w:val="0014567B"/>
    <w:rsid w:val="00146CE0"/>
    <w:rsid w:val="00150962"/>
    <w:rsid w:val="00156C66"/>
    <w:rsid w:val="0016219F"/>
    <w:rsid w:val="001629E6"/>
    <w:rsid w:val="00166918"/>
    <w:rsid w:val="00167D75"/>
    <w:rsid w:val="00171DC6"/>
    <w:rsid w:val="00176930"/>
    <w:rsid w:val="00180D3D"/>
    <w:rsid w:val="001826D0"/>
    <w:rsid w:val="00183E54"/>
    <w:rsid w:val="00187C44"/>
    <w:rsid w:val="00190E6E"/>
    <w:rsid w:val="00193050"/>
    <w:rsid w:val="0019776D"/>
    <w:rsid w:val="001A0433"/>
    <w:rsid w:val="001A2425"/>
    <w:rsid w:val="001A242D"/>
    <w:rsid w:val="001B5DF8"/>
    <w:rsid w:val="001B740C"/>
    <w:rsid w:val="001C0C92"/>
    <w:rsid w:val="001C5B49"/>
    <w:rsid w:val="001E20B1"/>
    <w:rsid w:val="001E6DA7"/>
    <w:rsid w:val="001E787D"/>
    <w:rsid w:val="001E7E8B"/>
    <w:rsid w:val="001F6BE3"/>
    <w:rsid w:val="001F7FE7"/>
    <w:rsid w:val="00204B1B"/>
    <w:rsid w:val="002057CA"/>
    <w:rsid w:val="00205C5F"/>
    <w:rsid w:val="002075D4"/>
    <w:rsid w:val="00221DB9"/>
    <w:rsid w:val="00222933"/>
    <w:rsid w:val="00223488"/>
    <w:rsid w:val="00227265"/>
    <w:rsid w:val="00227A83"/>
    <w:rsid w:val="002303CB"/>
    <w:rsid w:val="00231DE7"/>
    <w:rsid w:val="00240FF8"/>
    <w:rsid w:val="002433BB"/>
    <w:rsid w:val="00245905"/>
    <w:rsid w:val="00247E48"/>
    <w:rsid w:val="00250756"/>
    <w:rsid w:val="00250CAA"/>
    <w:rsid w:val="00254343"/>
    <w:rsid w:val="00257035"/>
    <w:rsid w:val="0026092A"/>
    <w:rsid w:val="00262BD5"/>
    <w:rsid w:val="00264160"/>
    <w:rsid w:val="00267128"/>
    <w:rsid w:val="002674AF"/>
    <w:rsid w:val="002733FE"/>
    <w:rsid w:val="0027463C"/>
    <w:rsid w:val="002A57BC"/>
    <w:rsid w:val="002B10A7"/>
    <w:rsid w:val="002B4B5B"/>
    <w:rsid w:val="002C00EF"/>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5325"/>
    <w:rsid w:val="00305B00"/>
    <w:rsid w:val="00305E17"/>
    <w:rsid w:val="00312AD1"/>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66C4"/>
    <w:rsid w:val="003726E7"/>
    <w:rsid w:val="00372A60"/>
    <w:rsid w:val="00373BA7"/>
    <w:rsid w:val="0037579A"/>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C0902"/>
    <w:rsid w:val="003C2A89"/>
    <w:rsid w:val="003D0552"/>
    <w:rsid w:val="003D1040"/>
    <w:rsid w:val="003D1D3B"/>
    <w:rsid w:val="003D3350"/>
    <w:rsid w:val="003E3040"/>
    <w:rsid w:val="003E51A4"/>
    <w:rsid w:val="003E538B"/>
    <w:rsid w:val="003E7EDB"/>
    <w:rsid w:val="003F19BA"/>
    <w:rsid w:val="003F2ED0"/>
    <w:rsid w:val="003F36DC"/>
    <w:rsid w:val="003F3CED"/>
    <w:rsid w:val="00401397"/>
    <w:rsid w:val="00404494"/>
    <w:rsid w:val="00406DB7"/>
    <w:rsid w:val="004120DC"/>
    <w:rsid w:val="00415529"/>
    <w:rsid w:val="00417F94"/>
    <w:rsid w:val="00421FBF"/>
    <w:rsid w:val="00422F26"/>
    <w:rsid w:val="00431C82"/>
    <w:rsid w:val="004333C6"/>
    <w:rsid w:val="0043558C"/>
    <w:rsid w:val="00437191"/>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4008"/>
    <w:rsid w:val="004E6DBA"/>
    <w:rsid w:val="004E794E"/>
    <w:rsid w:val="004F1307"/>
    <w:rsid w:val="004F2B99"/>
    <w:rsid w:val="004F3BD9"/>
    <w:rsid w:val="004F428F"/>
    <w:rsid w:val="004F6CD9"/>
    <w:rsid w:val="00500BA1"/>
    <w:rsid w:val="00501DBE"/>
    <w:rsid w:val="0050394C"/>
    <w:rsid w:val="005108F9"/>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FC1"/>
    <w:rsid w:val="00573EBA"/>
    <w:rsid w:val="00577741"/>
    <w:rsid w:val="005778E2"/>
    <w:rsid w:val="00581A85"/>
    <w:rsid w:val="0058265B"/>
    <w:rsid w:val="0059298A"/>
    <w:rsid w:val="005A10D3"/>
    <w:rsid w:val="005A1259"/>
    <w:rsid w:val="005A4D34"/>
    <w:rsid w:val="005A4EA6"/>
    <w:rsid w:val="005A5BB6"/>
    <w:rsid w:val="005A6208"/>
    <w:rsid w:val="005A736F"/>
    <w:rsid w:val="005A7855"/>
    <w:rsid w:val="005B23B2"/>
    <w:rsid w:val="005B4099"/>
    <w:rsid w:val="005C553F"/>
    <w:rsid w:val="005C5CC0"/>
    <w:rsid w:val="005D3292"/>
    <w:rsid w:val="005D72AF"/>
    <w:rsid w:val="005E0393"/>
    <w:rsid w:val="005E1798"/>
    <w:rsid w:val="005E524C"/>
    <w:rsid w:val="005F0D38"/>
    <w:rsid w:val="005F46E2"/>
    <w:rsid w:val="005F6DEF"/>
    <w:rsid w:val="005F7036"/>
    <w:rsid w:val="00600768"/>
    <w:rsid w:val="00600FDD"/>
    <w:rsid w:val="006049EF"/>
    <w:rsid w:val="00610179"/>
    <w:rsid w:val="00613872"/>
    <w:rsid w:val="00615051"/>
    <w:rsid w:val="0062320B"/>
    <w:rsid w:val="0062546F"/>
    <w:rsid w:val="00625F5D"/>
    <w:rsid w:val="00630FBE"/>
    <w:rsid w:val="006310EB"/>
    <w:rsid w:val="00631B22"/>
    <w:rsid w:val="0063525D"/>
    <w:rsid w:val="00635680"/>
    <w:rsid w:val="00646D16"/>
    <w:rsid w:val="00647600"/>
    <w:rsid w:val="00657FD4"/>
    <w:rsid w:val="00663722"/>
    <w:rsid w:val="00670B41"/>
    <w:rsid w:val="00670FD1"/>
    <w:rsid w:val="00671F53"/>
    <w:rsid w:val="006748F1"/>
    <w:rsid w:val="0067590A"/>
    <w:rsid w:val="00680047"/>
    <w:rsid w:val="006801F9"/>
    <w:rsid w:val="00681090"/>
    <w:rsid w:val="00683963"/>
    <w:rsid w:val="006861D0"/>
    <w:rsid w:val="00687A8C"/>
    <w:rsid w:val="0069645C"/>
    <w:rsid w:val="00696B01"/>
    <w:rsid w:val="006973D0"/>
    <w:rsid w:val="006A040B"/>
    <w:rsid w:val="006B21D6"/>
    <w:rsid w:val="006B4750"/>
    <w:rsid w:val="006C2B22"/>
    <w:rsid w:val="006C2ECD"/>
    <w:rsid w:val="006C4A1B"/>
    <w:rsid w:val="006D106C"/>
    <w:rsid w:val="006D1C6D"/>
    <w:rsid w:val="006D6009"/>
    <w:rsid w:val="006D668A"/>
    <w:rsid w:val="006E38DE"/>
    <w:rsid w:val="006E4FE8"/>
    <w:rsid w:val="006E52F0"/>
    <w:rsid w:val="006F2180"/>
    <w:rsid w:val="006F2B41"/>
    <w:rsid w:val="006F7AEA"/>
    <w:rsid w:val="00701DDB"/>
    <w:rsid w:val="00706466"/>
    <w:rsid w:val="00707E18"/>
    <w:rsid w:val="00707E86"/>
    <w:rsid w:val="00710ABB"/>
    <w:rsid w:val="00716304"/>
    <w:rsid w:val="00734496"/>
    <w:rsid w:val="00734BAC"/>
    <w:rsid w:val="00735DE8"/>
    <w:rsid w:val="00747D50"/>
    <w:rsid w:val="007574CF"/>
    <w:rsid w:val="007667AF"/>
    <w:rsid w:val="007678B0"/>
    <w:rsid w:val="00780020"/>
    <w:rsid w:val="00781AC6"/>
    <w:rsid w:val="00782CF4"/>
    <w:rsid w:val="007839AF"/>
    <w:rsid w:val="00784CED"/>
    <w:rsid w:val="00785DAE"/>
    <w:rsid w:val="00793D2D"/>
    <w:rsid w:val="00794494"/>
    <w:rsid w:val="00797762"/>
    <w:rsid w:val="007A1166"/>
    <w:rsid w:val="007A5A2C"/>
    <w:rsid w:val="007B1022"/>
    <w:rsid w:val="007B3863"/>
    <w:rsid w:val="007B3B10"/>
    <w:rsid w:val="007B48C6"/>
    <w:rsid w:val="007B63D3"/>
    <w:rsid w:val="007B7F7E"/>
    <w:rsid w:val="007C0463"/>
    <w:rsid w:val="007C0935"/>
    <w:rsid w:val="007C2956"/>
    <w:rsid w:val="007C6BE5"/>
    <w:rsid w:val="007D23D2"/>
    <w:rsid w:val="007D2B22"/>
    <w:rsid w:val="007D3B66"/>
    <w:rsid w:val="007E2C1F"/>
    <w:rsid w:val="007E6C03"/>
    <w:rsid w:val="007E6C65"/>
    <w:rsid w:val="007F14DA"/>
    <w:rsid w:val="007F3FAA"/>
    <w:rsid w:val="00800E39"/>
    <w:rsid w:val="00801DF3"/>
    <w:rsid w:val="008034E5"/>
    <w:rsid w:val="00803C5D"/>
    <w:rsid w:val="008055D4"/>
    <w:rsid w:val="00805DE6"/>
    <w:rsid w:val="008079AD"/>
    <w:rsid w:val="00810FE9"/>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A34"/>
    <w:rsid w:val="0085073B"/>
    <w:rsid w:val="008512E1"/>
    <w:rsid w:val="00851F9A"/>
    <w:rsid w:val="00856920"/>
    <w:rsid w:val="00866C34"/>
    <w:rsid w:val="00866E3E"/>
    <w:rsid w:val="00874B84"/>
    <w:rsid w:val="008870C0"/>
    <w:rsid w:val="008967E4"/>
    <w:rsid w:val="008968C9"/>
    <w:rsid w:val="00896954"/>
    <w:rsid w:val="00896DD5"/>
    <w:rsid w:val="008A0034"/>
    <w:rsid w:val="008A56EA"/>
    <w:rsid w:val="008B5E21"/>
    <w:rsid w:val="008C1349"/>
    <w:rsid w:val="008D5BB6"/>
    <w:rsid w:val="008E05CC"/>
    <w:rsid w:val="008E0FB7"/>
    <w:rsid w:val="008E699D"/>
    <w:rsid w:val="008F2AFC"/>
    <w:rsid w:val="008F2FBC"/>
    <w:rsid w:val="008F4347"/>
    <w:rsid w:val="008F4D90"/>
    <w:rsid w:val="008F646F"/>
    <w:rsid w:val="0090161D"/>
    <w:rsid w:val="00907C08"/>
    <w:rsid w:val="00910AB1"/>
    <w:rsid w:val="00912EBE"/>
    <w:rsid w:val="0091384B"/>
    <w:rsid w:val="00916B7A"/>
    <w:rsid w:val="00920DFA"/>
    <w:rsid w:val="009213AC"/>
    <w:rsid w:val="0092307B"/>
    <w:rsid w:val="009233A9"/>
    <w:rsid w:val="00930B23"/>
    <w:rsid w:val="00931B41"/>
    <w:rsid w:val="0093220F"/>
    <w:rsid w:val="00935886"/>
    <w:rsid w:val="0093626A"/>
    <w:rsid w:val="00936953"/>
    <w:rsid w:val="00940994"/>
    <w:rsid w:val="009409FF"/>
    <w:rsid w:val="00940FBD"/>
    <w:rsid w:val="009415EF"/>
    <w:rsid w:val="00941F4D"/>
    <w:rsid w:val="00944A15"/>
    <w:rsid w:val="00944FA3"/>
    <w:rsid w:val="00945737"/>
    <w:rsid w:val="00946A13"/>
    <w:rsid w:val="00962177"/>
    <w:rsid w:val="00962843"/>
    <w:rsid w:val="00966634"/>
    <w:rsid w:val="00967E21"/>
    <w:rsid w:val="00970181"/>
    <w:rsid w:val="009707DE"/>
    <w:rsid w:val="009726FF"/>
    <w:rsid w:val="00973912"/>
    <w:rsid w:val="00974098"/>
    <w:rsid w:val="009839B5"/>
    <w:rsid w:val="0098462D"/>
    <w:rsid w:val="00986196"/>
    <w:rsid w:val="00987D51"/>
    <w:rsid w:val="00996E70"/>
    <w:rsid w:val="009A1FF5"/>
    <w:rsid w:val="009A3782"/>
    <w:rsid w:val="009A46E0"/>
    <w:rsid w:val="009A50E6"/>
    <w:rsid w:val="009A570E"/>
    <w:rsid w:val="009A704A"/>
    <w:rsid w:val="009C06C6"/>
    <w:rsid w:val="009C1A4A"/>
    <w:rsid w:val="009C52A4"/>
    <w:rsid w:val="009C7078"/>
    <w:rsid w:val="009C70D2"/>
    <w:rsid w:val="009D15E5"/>
    <w:rsid w:val="009D32AC"/>
    <w:rsid w:val="009D508A"/>
    <w:rsid w:val="009D78FC"/>
    <w:rsid w:val="009E0F69"/>
    <w:rsid w:val="009E1D0C"/>
    <w:rsid w:val="009E45D0"/>
    <w:rsid w:val="009F4A6F"/>
    <w:rsid w:val="009F7831"/>
    <w:rsid w:val="00A0364F"/>
    <w:rsid w:val="00A03AB4"/>
    <w:rsid w:val="00A05FD8"/>
    <w:rsid w:val="00A07287"/>
    <w:rsid w:val="00A07723"/>
    <w:rsid w:val="00A07729"/>
    <w:rsid w:val="00A12AB4"/>
    <w:rsid w:val="00A15C7B"/>
    <w:rsid w:val="00A16903"/>
    <w:rsid w:val="00A216EE"/>
    <w:rsid w:val="00A2513D"/>
    <w:rsid w:val="00A32CE2"/>
    <w:rsid w:val="00A37367"/>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40F2"/>
    <w:rsid w:val="00A87719"/>
    <w:rsid w:val="00A91B8B"/>
    <w:rsid w:val="00A936EB"/>
    <w:rsid w:val="00A94670"/>
    <w:rsid w:val="00A95507"/>
    <w:rsid w:val="00AA6417"/>
    <w:rsid w:val="00AB41C8"/>
    <w:rsid w:val="00AB4810"/>
    <w:rsid w:val="00AB5712"/>
    <w:rsid w:val="00AB64C0"/>
    <w:rsid w:val="00AB650C"/>
    <w:rsid w:val="00AB7153"/>
    <w:rsid w:val="00AB7432"/>
    <w:rsid w:val="00AC348B"/>
    <w:rsid w:val="00AC3E2E"/>
    <w:rsid w:val="00AC42D2"/>
    <w:rsid w:val="00AC5455"/>
    <w:rsid w:val="00AC638F"/>
    <w:rsid w:val="00AD2838"/>
    <w:rsid w:val="00AD5977"/>
    <w:rsid w:val="00AD6F54"/>
    <w:rsid w:val="00AD73DE"/>
    <w:rsid w:val="00AE02F0"/>
    <w:rsid w:val="00AE5312"/>
    <w:rsid w:val="00AF0014"/>
    <w:rsid w:val="00AF70CD"/>
    <w:rsid w:val="00AF7489"/>
    <w:rsid w:val="00B00B9D"/>
    <w:rsid w:val="00B02B25"/>
    <w:rsid w:val="00B11EE1"/>
    <w:rsid w:val="00B12FA0"/>
    <w:rsid w:val="00B1321C"/>
    <w:rsid w:val="00B13DBC"/>
    <w:rsid w:val="00B1643E"/>
    <w:rsid w:val="00B27071"/>
    <w:rsid w:val="00B3121B"/>
    <w:rsid w:val="00B31BEE"/>
    <w:rsid w:val="00B35F43"/>
    <w:rsid w:val="00B36674"/>
    <w:rsid w:val="00B37894"/>
    <w:rsid w:val="00B37DC3"/>
    <w:rsid w:val="00B4107A"/>
    <w:rsid w:val="00B4194B"/>
    <w:rsid w:val="00B432C3"/>
    <w:rsid w:val="00B4486B"/>
    <w:rsid w:val="00B4603A"/>
    <w:rsid w:val="00B479BC"/>
    <w:rsid w:val="00B47D29"/>
    <w:rsid w:val="00B47FDC"/>
    <w:rsid w:val="00B62BC0"/>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179A"/>
    <w:rsid w:val="00BB60FE"/>
    <w:rsid w:val="00BC3527"/>
    <w:rsid w:val="00BC3A85"/>
    <w:rsid w:val="00BC539B"/>
    <w:rsid w:val="00BC64BC"/>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49A3"/>
    <w:rsid w:val="00C24A79"/>
    <w:rsid w:val="00C24DAA"/>
    <w:rsid w:val="00C26115"/>
    <w:rsid w:val="00C26801"/>
    <w:rsid w:val="00C33CB2"/>
    <w:rsid w:val="00C358BB"/>
    <w:rsid w:val="00C405F3"/>
    <w:rsid w:val="00C421F3"/>
    <w:rsid w:val="00C45777"/>
    <w:rsid w:val="00C4649F"/>
    <w:rsid w:val="00C47F3A"/>
    <w:rsid w:val="00C50248"/>
    <w:rsid w:val="00C527CD"/>
    <w:rsid w:val="00C54F7C"/>
    <w:rsid w:val="00C57BAE"/>
    <w:rsid w:val="00C639B7"/>
    <w:rsid w:val="00C64091"/>
    <w:rsid w:val="00C66B7D"/>
    <w:rsid w:val="00C66B84"/>
    <w:rsid w:val="00C66FA0"/>
    <w:rsid w:val="00C7564A"/>
    <w:rsid w:val="00C85ABC"/>
    <w:rsid w:val="00C91E56"/>
    <w:rsid w:val="00CA32D6"/>
    <w:rsid w:val="00CA3683"/>
    <w:rsid w:val="00CA6B19"/>
    <w:rsid w:val="00CB39DE"/>
    <w:rsid w:val="00CB4792"/>
    <w:rsid w:val="00CC4576"/>
    <w:rsid w:val="00CC6B63"/>
    <w:rsid w:val="00CD65A0"/>
    <w:rsid w:val="00CD709D"/>
    <w:rsid w:val="00CE1831"/>
    <w:rsid w:val="00CE1B14"/>
    <w:rsid w:val="00CE3AEA"/>
    <w:rsid w:val="00CE3BE5"/>
    <w:rsid w:val="00CE7703"/>
    <w:rsid w:val="00CF2EBE"/>
    <w:rsid w:val="00CF3A37"/>
    <w:rsid w:val="00CF47B6"/>
    <w:rsid w:val="00D007AC"/>
    <w:rsid w:val="00D0226F"/>
    <w:rsid w:val="00D02F6D"/>
    <w:rsid w:val="00D12194"/>
    <w:rsid w:val="00D1386B"/>
    <w:rsid w:val="00D13B30"/>
    <w:rsid w:val="00D167AE"/>
    <w:rsid w:val="00D260A3"/>
    <w:rsid w:val="00D30064"/>
    <w:rsid w:val="00D30B85"/>
    <w:rsid w:val="00D341CA"/>
    <w:rsid w:val="00D36A83"/>
    <w:rsid w:val="00D40517"/>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91629"/>
    <w:rsid w:val="00D9287F"/>
    <w:rsid w:val="00D95EF6"/>
    <w:rsid w:val="00D9779E"/>
    <w:rsid w:val="00D97835"/>
    <w:rsid w:val="00DA0D9B"/>
    <w:rsid w:val="00DA273A"/>
    <w:rsid w:val="00DA3126"/>
    <w:rsid w:val="00DA3E64"/>
    <w:rsid w:val="00DA4E49"/>
    <w:rsid w:val="00DB2406"/>
    <w:rsid w:val="00DB5829"/>
    <w:rsid w:val="00DC0CF2"/>
    <w:rsid w:val="00DC504A"/>
    <w:rsid w:val="00DD1ABC"/>
    <w:rsid w:val="00DD75DB"/>
    <w:rsid w:val="00DE05B8"/>
    <w:rsid w:val="00DE3A92"/>
    <w:rsid w:val="00DE4971"/>
    <w:rsid w:val="00DE5DC5"/>
    <w:rsid w:val="00DF0045"/>
    <w:rsid w:val="00DF1EDB"/>
    <w:rsid w:val="00DF5F06"/>
    <w:rsid w:val="00E01C8C"/>
    <w:rsid w:val="00E01EDB"/>
    <w:rsid w:val="00E05301"/>
    <w:rsid w:val="00E05958"/>
    <w:rsid w:val="00E0763F"/>
    <w:rsid w:val="00E20730"/>
    <w:rsid w:val="00E215CB"/>
    <w:rsid w:val="00E21867"/>
    <w:rsid w:val="00E231ED"/>
    <w:rsid w:val="00E23480"/>
    <w:rsid w:val="00E244F1"/>
    <w:rsid w:val="00E24C48"/>
    <w:rsid w:val="00E25E5C"/>
    <w:rsid w:val="00E41631"/>
    <w:rsid w:val="00E45D3C"/>
    <w:rsid w:val="00E54AB5"/>
    <w:rsid w:val="00E630D0"/>
    <w:rsid w:val="00E66060"/>
    <w:rsid w:val="00E66576"/>
    <w:rsid w:val="00E674AB"/>
    <w:rsid w:val="00E71F19"/>
    <w:rsid w:val="00E753EA"/>
    <w:rsid w:val="00E8002A"/>
    <w:rsid w:val="00E80ED7"/>
    <w:rsid w:val="00E8529A"/>
    <w:rsid w:val="00E871BA"/>
    <w:rsid w:val="00E9485D"/>
    <w:rsid w:val="00E97E6C"/>
    <w:rsid w:val="00EA1E0E"/>
    <w:rsid w:val="00EA668B"/>
    <w:rsid w:val="00EB0333"/>
    <w:rsid w:val="00EB0ECA"/>
    <w:rsid w:val="00EB20CF"/>
    <w:rsid w:val="00EB22C8"/>
    <w:rsid w:val="00EC1267"/>
    <w:rsid w:val="00EC4AE1"/>
    <w:rsid w:val="00EC6E1A"/>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303"/>
    <w:rsid w:val="00EF7EA0"/>
    <w:rsid w:val="00F01192"/>
    <w:rsid w:val="00F03332"/>
    <w:rsid w:val="00F034C4"/>
    <w:rsid w:val="00F075E1"/>
    <w:rsid w:val="00F077AB"/>
    <w:rsid w:val="00F130F0"/>
    <w:rsid w:val="00F20045"/>
    <w:rsid w:val="00F22EF5"/>
    <w:rsid w:val="00F23B21"/>
    <w:rsid w:val="00F24B76"/>
    <w:rsid w:val="00F2555A"/>
    <w:rsid w:val="00F25F20"/>
    <w:rsid w:val="00F26D0B"/>
    <w:rsid w:val="00F323DC"/>
    <w:rsid w:val="00F4025C"/>
    <w:rsid w:val="00F4212F"/>
    <w:rsid w:val="00F436BC"/>
    <w:rsid w:val="00F54C4D"/>
    <w:rsid w:val="00F564F4"/>
    <w:rsid w:val="00F5771C"/>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38EF"/>
    <w:rsid w:val="00FB47A0"/>
    <w:rsid w:val="00FB5018"/>
    <w:rsid w:val="00FB6678"/>
    <w:rsid w:val="00FC3A54"/>
    <w:rsid w:val="00FD1F30"/>
    <w:rsid w:val="00FD5D2D"/>
    <w:rsid w:val="00FD6260"/>
    <w:rsid w:val="00FE2779"/>
    <w:rsid w:val="00FE297C"/>
    <w:rsid w:val="00FE503B"/>
    <w:rsid w:val="00FE779D"/>
    <w:rsid w:val="00FF0618"/>
    <w:rsid w:val="00FF49F8"/>
    <w:rsid w:val="00FF559E"/>
    <w:rsid w:val="00FF6F24"/>
    <w:rsid w:val="00FF7CEF"/>
    <w:rsid w:val="3FBF6F17"/>
    <w:rsid w:val="3FEF29A9"/>
    <w:rsid w:val="3FFFA2D2"/>
    <w:rsid w:val="5EFFAAD2"/>
    <w:rsid w:val="5F67AF73"/>
    <w:rsid w:val="69372060"/>
    <w:rsid w:val="6FFD91A2"/>
    <w:rsid w:val="776D88C4"/>
    <w:rsid w:val="77FD2ADD"/>
    <w:rsid w:val="7CFF91AE"/>
    <w:rsid w:val="7FE30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B9BF1A8-C744-4298-BB09-73AE9DE6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DFD"/>
    <w:pPr>
      <w:overflowPunct w:val="0"/>
      <w:autoSpaceDE w:val="0"/>
      <w:autoSpaceDN w:val="0"/>
      <w:adjustRightInd w:val="0"/>
      <w:spacing w:after="120"/>
      <w:jc w:val="both"/>
    </w:pPr>
    <w:rPr>
      <w:rFonts w:eastAsia="宋体"/>
      <w:lang w:val="en-GB"/>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sz w:val="36"/>
      <w:szCs w:val="36"/>
      <w:lang w:val="en-GB"/>
    </w:rPr>
  </w:style>
  <w:style w:type="paragraph" w:styleId="2">
    <w:name w:val="heading 2"/>
    <w:basedOn w:val="1"/>
    <w:next w:val="a"/>
    <w:link w:val="2Char"/>
    <w:unhideWhenUsed/>
    <w:qFormat/>
    <w:pPr>
      <w:numPr>
        <w:ilvl w:val="1"/>
      </w:numPr>
      <w:pBdr>
        <w:top w:val="none" w:sz="0" w:space="0" w:color="auto"/>
      </w:pBdr>
      <w:spacing w:before="180"/>
      <w:outlineLvl w:val="1"/>
    </w:pPr>
    <w:rPr>
      <w:sz w:val="32"/>
      <w:szCs w:val="32"/>
    </w:rPr>
  </w:style>
  <w:style w:type="paragraph" w:styleId="3">
    <w:name w:val="heading 3"/>
    <w:basedOn w:val="a"/>
    <w:next w:val="a"/>
    <w:link w:val="3Char1"/>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3"/>
    <w:next w:val="a"/>
    <w:link w:val="4Char"/>
    <w:semiHidden/>
    <w:unhideWhenUsed/>
    <w:qFormat/>
    <w:pPr>
      <w:numPr>
        <w:ilvl w:val="3"/>
        <w:numId w:val="1"/>
      </w:numPr>
      <w:spacing w:before="120" w:after="180"/>
      <w:jc w:val="left"/>
      <w:outlineLvl w:val="3"/>
    </w:pPr>
    <w:rPr>
      <w:rFonts w:ascii="Arial" w:eastAsia="Times New Roman" w:hAnsi="Arial" w:cs="Times New Roman"/>
      <w:color w:val="auto"/>
    </w:rPr>
  </w:style>
  <w:style w:type="paragraph" w:styleId="5">
    <w:name w:val="heading 5"/>
    <w:basedOn w:val="4"/>
    <w:next w:val="a"/>
    <w:link w:val="5Char"/>
    <w:semiHidden/>
    <w:unhideWhenUsed/>
    <w:qFormat/>
    <w:pPr>
      <w:numPr>
        <w:ilvl w:val="4"/>
      </w:numPr>
      <w:outlineLvl w:val="4"/>
    </w:pPr>
    <w:rPr>
      <w:sz w:val="22"/>
      <w:szCs w:val="22"/>
    </w:rPr>
  </w:style>
  <w:style w:type="paragraph" w:styleId="6">
    <w:name w:val="heading 6"/>
    <w:basedOn w:val="a"/>
    <w:next w:val="a"/>
    <w:link w:val="6Char"/>
    <w:semiHidden/>
    <w:unhideWhenUsed/>
    <w:qFormat/>
    <w:pPr>
      <w:keepNext/>
      <w:keepLines/>
      <w:numPr>
        <w:ilvl w:val="5"/>
        <w:numId w:val="1"/>
      </w:numPr>
      <w:spacing w:before="120"/>
      <w:outlineLvl w:val="5"/>
    </w:pPr>
    <w:rPr>
      <w:rFonts w:cs="Arial"/>
    </w:rPr>
  </w:style>
  <w:style w:type="paragraph" w:styleId="7">
    <w:name w:val="heading 7"/>
    <w:basedOn w:val="a"/>
    <w:next w:val="a"/>
    <w:link w:val="7Char"/>
    <w:semiHidden/>
    <w:unhideWhenUsed/>
    <w:qFormat/>
    <w:pPr>
      <w:keepNext/>
      <w:keepLines/>
      <w:numPr>
        <w:ilvl w:val="6"/>
        <w:numId w:val="1"/>
      </w:numPr>
      <w:spacing w:before="120"/>
      <w:outlineLvl w:val="6"/>
    </w:pPr>
    <w:rPr>
      <w:rFonts w:cs="Arial"/>
    </w:rPr>
  </w:style>
  <w:style w:type="paragraph" w:styleId="8">
    <w:name w:val="heading 8"/>
    <w:basedOn w:val="7"/>
    <w:next w:val="a"/>
    <w:link w:val="8Char"/>
    <w:semiHidden/>
    <w:unhideWhenUsed/>
    <w:qFormat/>
    <w:pPr>
      <w:numPr>
        <w:ilvl w:val="7"/>
      </w:numPr>
      <w:outlineLvl w:val="7"/>
    </w:pPr>
  </w:style>
  <w:style w:type="paragraph" w:styleId="9">
    <w:name w:val="heading 9"/>
    <w:basedOn w:val="8"/>
    <w:next w:val="a"/>
    <w:link w:val="9Char"/>
    <w:semiHidden/>
    <w:unhideWhenUsed/>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Char"/>
    <w:uiPriority w:val="99"/>
    <w:unhideWhenUsed/>
  </w:style>
  <w:style w:type="paragraph" w:styleId="a5">
    <w:name w:val="Body Text"/>
    <w:basedOn w:val="a"/>
    <w:link w:val="Char0"/>
    <w:unhideWhenUsed/>
    <w:rPr>
      <w:rFonts w:eastAsia="Malgun Gothic"/>
    </w:rPr>
  </w:style>
  <w:style w:type="paragraph" w:styleId="20">
    <w:name w:val="List 2"/>
    <w:basedOn w:val="a"/>
    <w:uiPriority w:val="99"/>
    <w:semiHidden/>
    <w:unhideWhenUsed/>
    <w:pPr>
      <w:ind w:leftChars="200" w:left="100" w:hangingChars="200" w:hanging="200"/>
      <w:contextualSpacing/>
    </w:pPr>
  </w:style>
  <w:style w:type="paragraph" w:styleId="a6">
    <w:name w:val="Balloon Text"/>
    <w:basedOn w:val="a"/>
    <w:link w:val="Char1"/>
    <w:uiPriority w:val="99"/>
    <w:semiHidden/>
    <w:unhideWhenUsed/>
    <w:pPr>
      <w:spacing w:after="0"/>
    </w:pPr>
    <w:rPr>
      <w:rFonts w:ascii="Segoe UI" w:hAnsi="Segoe UI" w:cs="Segoe UI"/>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50">
    <w:name w:val="List 5"/>
    <w:basedOn w:val="a"/>
    <w:uiPriority w:val="99"/>
    <w:semiHidden/>
    <w:unhideWhenUsed/>
    <w:qFormat/>
    <w:pPr>
      <w:ind w:leftChars="800" w:left="100" w:hangingChars="200" w:hanging="200"/>
    </w:pPr>
  </w:style>
  <w:style w:type="paragraph" w:styleId="40">
    <w:name w:val="List 4"/>
    <w:basedOn w:val="a"/>
    <w:uiPriority w:val="99"/>
    <w:semiHidden/>
    <w:unhideWhenUsed/>
    <w:pPr>
      <w:ind w:leftChars="600" w:left="100" w:hangingChars="200" w:hanging="200"/>
    </w:pPr>
  </w:style>
  <w:style w:type="paragraph" w:styleId="a9">
    <w:name w:val="Normal (Web)"/>
    <w:basedOn w:val="a"/>
    <w:uiPriority w:val="99"/>
    <w:semiHidden/>
    <w:unhideWhenUsed/>
    <w:pPr>
      <w:overflowPunct/>
      <w:autoSpaceDE/>
      <w:autoSpaceDN/>
      <w:adjustRightInd/>
      <w:spacing w:before="100" w:beforeAutospacing="1" w:after="100" w:afterAutospacing="1"/>
      <w:jc w:val="left"/>
    </w:pPr>
    <w:rPr>
      <w:rFonts w:eastAsiaTheme="minorEastAsia"/>
      <w:sz w:val="24"/>
      <w:szCs w:val="24"/>
    </w:rPr>
  </w:style>
  <w:style w:type="paragraph" w:styleId="aa">
    <w:name w:val="annotation subject"/>
    <w:basedOn w:val="a4"/>
    <w:next w:val="a4"/>
    <w:link w:val="Char4"/>
    <w:uiPriority w:val="99"/>
    <w:semiHidden/>
    <w:unhideWhenUsed/>
    <w:rPr>
      <w:b/>
      <w:bCs/>
    </w:rPr>
  </w:style>
  <w:style w:type="table" w:styleId="ab">
    <w:name w:val="Table Grid"/>
    <w:basedOn w:val="a1"/>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qFormat/>
    <w:rPr>
      <w:sz w:val="16"/>
      <w:szCs w:val="16"/>
    </w:rPr>
  </w:style>
  <w:style w:type="character" w:customStyle="1" w:styleId="Heading1Char">
    <w:name w:val="Heading 1 Char"/>
    <w:basedOn w:val="a0"/>
    <w:uiPriority w:val="9"/>
    <w:rPr>
      <w:rFonts w:asciiTheme="majorHAnsi" w:eastAsiaTheme="majorEastAsia" w:hAnsiTheme="majorHAnsi" w:cstheme="majorBidi"/>
      <w:color w:val="2F5496" w:themeColor="accent1" w:themeShade="BF"/>
      <w:sz w:val="32"/>
      <w:szCs w:val="32"/>
      <w:lang w:val="en-US" w:eastAsia="zh-CN"/>
    </w:rPr>
  </w:style>
  <w:style w:type="character" w:customStyle="1" w:styleId="2Char">
    <w:name w:val="标题 2 Char"/>
    <w:basedOn w:val="a0"/>
    <w:link w:val="2"/>
    <w:rPr>
      <w:rFonts w:ascii="Arial" w:eastAsia="Times New Roman" w:hAnsi="Arial" w:cs="Times New Roman"/>
      <w:sz w:val="32"/>
      <w:szCs w:val="32"/>
      <w:lang w:val="en-GB" w:eastAsia="zh-CN"/>
    </w:rPr>
  </w:style>
  <w:style w:type="character" w:customStyle="1" w:styleId="4Char">
    <w:name w:val="标题 4 Char"/>
    <w:basedOn w:val="a0"/>
    <w:link w:val="4"/>
    <w:semiHidden/>
    <w:rPr>
      <w:rFonts w:ascii="Arial" w:eastAsia="Times New Roman" w:hAnsi="Arial" w:cs="Times New Roman"/>
      <w:sz w:val="24"/>
      <w:szCs w:val="24"/>
      <w:lang w:val="en-GB" w:eastAsia="zh-CN"/>
    </w:rPr>
  </w:style>
  <w:style w:type="character" w:customStyle="1" w:styleId="5Char">
    <w:name w:val="标题 5 Char"/>
    <w:basedOn w:val="a0"/>
    <w:link w:val="5"/>
    <w:semiHidden/>
    <w:rPr>
      <w:rFonts w:ascii="Arial" w:eastAsia="Times New Roman" w:hAnsi="Arial" w:cs="Times New Roman"/>
      <w:lang w:val="en-GB" w:eastAsia="zh-CN"/>
    </w:rPr>
  </w:style>
  <w:style w:type="character" w:customStyle="1" w:styleId="6Char">
    <w:name w:val="标题 6 Char"/>
    <w:basedOn w:val="a0"/>
    <w:link w:val="6"/>
    <w:semiHidden/>
    <w:qFormat/>
    <w:rPr>
      <w:rFonts w:ascii="Arial" w:eastAsia="宋体" w:hAnsi="Arial" w:cs="Arial"/>
      <w:sz w:val="20"/>
      <w:szCs w:val="20"/>
      <w:lang w:val="en-US" w:eastAsia="zh-CN"/>
    </w:rPr>
  </w:style>
  <w:style w:type="character" w:customStyle="1" w:styleId="7Char">
    <w:name w:val="标题 7 Char"/>
    <w:basedOn w:val="a0"/>
    <w:link w:val="7"/>
    <w:semiHidden/>
    <w:rPr>
      <w:rFonts w:ascii="Arial" w:eastAsia="宋体" w:hAnsi="Arial" w:cs="Arial"/>
      <w:sz w:val="20"/>
      <w:szCs w:val="20"/>
      <w:lang w:val="en-US" w:eastAsia="zh-CN"/>
    </w:rPr>
  </w:style>
  <w:style w:type="character" w:customStyle="1" w:styleId="8Char">
    <w:name w:val="标题 8 Char"/>
    <w:basedOn w:val="a0"/>
    <w:link w:val="8"/>
    <w:semiHidden/>
    <w:rPr>
      <w:rFonts w:ascii="Arial" w:eastAsia="宋体" w:hAnsi="Arial" w:cs="Arial"/>
      <w:sz w:val="20"/>
      <w:szCs w:val="20"/>
      <w:lang w:val="en-US" w:eastAsia="zh-CN"/>
    </w:rPr>
  </w:style>
  <w:style w:type="character" w:customStyle="1" w:styleId="9Char">
    <w:name w:val="标题 9 Char"/>
    <w:basedOn w:val="a0"/>
    <w:link w:val="9"/>
    <w:semiHidden/>
    <w:rPr>
      <w:rFonts w:ascii="Arial" w:eastAsia="宋体" w:hAnsi="Arial" w:cs="Arial"/>
      <w:sz w:val="20"/>
      <w:szCs w:val="20"/>
      <w:lang w:val="en-US" w:eastAsia="zh-CN"/>
    </w:rPr>
  </w:style>
  <w:style w:type="character" w:customStyle="1" w:styleId="1Char">
    <w:name w:val="标题 1 Char"/>
    <w:link w:val="1"/>
    <w:locked/>
    <w:rPr>
      <w:rFonts w:ascii="Arial" w:eastAsia="Times New Roman" w:hAnsi="Arial" w:cs="Times New Roman"/>
      <w:sz w:val="36"/>
      <w:szCs w:val="36"/>
      <w:lang w:val="en-GB" w:eastAsia="zh-CN"/>
    </w:rPr>
  </w:style>
  <w:style w:type="character" w:customStyle="1" w:styleId="Char0">
    <w:name w:val="正文文本 Char"/>
    <w:basedOn w:val="a0"/>
    <w:link w:val="a5"/>
    <w:rPr>
      <w:rFonts w:ascii="Arial" w:eastAsia="Malgun Gothic" w:hAnsi="Arial" w:cs="Times New Roman"/>
      <w:sz w:val="20"/>
      <w:szCs w:val="20"/>
      <w:lang w:val="en-GB" w:eastAsia="zh-CN"/>
    </w:rPr>
  </w:style>
  <w:style w:type="character" w:customStyle="1" w:styleId="Char5">
    <w:name w:val="列出段落 Char"/>
    <w:link w:val="ad"/>
    <w:uiPriority w:val="34"/>
    <w:qFormat/>
    <w:locked/>
    <w:rPr>
      <w:rFonts w:ascii="Calibri" w:eastAsia="宋体" w:hAnsi="Calibri" w:cs="Calibri"/>
      <w:lang w:val="zh-CN" w:eastAsia="zh-CN"/>
    </w:rPr>
  </w:style>
  <w:style w:type="paragraph" w:styleId="ad">
    <w:name w:val="List Paragraph"/>
    <w:basedOn w:val="a"/>
    <w:link w:val="Char5"/>
    <w:uiPriority w:val="34"/>
    <w:qFormat/>
    <w:pPr>
      <w:overflowPunct/>
      <w:autoSpaceDE/>
      <w:autoSpaceDN/>
      <w:adjustRightInd/>
      <w:spacing w:after="0"/>
      <w:ind w:left="720"/>
      <w:jc w:val="left"/>
    </w:pPr>
    <w:rPr>
      <w:rFonts w:ascii="Calibri" w:hAnsi="Calibri" w:cs="Calibri"/>
      <w:sz w:val="22"/>
      <w:szCs w:val="22"/>
      <w:lang w:val="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ProposalChar">
    <w:name w:val="Proposal Char"/>
    <w:link w:val="Proposal"/>
    <w:locked/>
    <w:rPr>
      <w:rFonts w:ascii="Arial" w:hAnsi="Arial"/>
      <w:b/>
      <w:bCs/>
      <w:lang w:val="zh-CN" w:eastAsia="zh-CN"/>
    </w:rPr>
  </w:style>
  <w:style w:type="paragraph" w:customStyle="1" w:styleId="Proposal">
    <w:name w:val="Proposal"/>
    <w:basedOn w:val="a"/>
    <w:link w:val="ProposalChar"/>
    <w:qFormat/>
    <w:pPr>
      <w:numPr>
        <w:numId w:val="2"/>
      </w:numPr>
    </w:pPr>
    <w:rPr>
      <w:rFonts w:eastAsiaTheme="minorHAnsi" w:cstheme="minorBidi"/>
      <w:b/>
      <w:bCs/>
      <w:sz w:val="22"/>
      <w:szCs w:val="22"/>
      <w:lang w:val="zh-CN"/>
    </w:rPr>
  </w:style>
  <w:style w:type="character" w:customStyle="1" w:styleId="PLChar">
    <w:name w:val="PL Char"/>
    <w:link w:val="PL"/>
    <w:qFormat/>
    <w:locked/>
    <w:rPr>
      <w:rFonts w:ascii="Courier New"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heme="minorEastAsia" w:hAnsi="Courier New" w:cs="Courier New"/>
      <w:sz w:val="16"/>
      <w:szCs w:val="16"/>
      <w:lang w:val="en-GB" w:eastAsia="ja-JP"/>
    </w:rPr>
  </w:style>
  <w:style w:type="character" w:customStyle="1" w:styleId="CRCoverPageZchn">
    <w:name w:val="CR Cover Page Zchn"/>
    <w:link w:val="CRCoverPage"/>
    <w:locked/>
    <w:rPr>
      <w:rFonts w:ascii="Arial" w:eastAsia="MS Mincho" w:hAnsi="Arial" w:cs="Arial"/>
      <w:lang w:val="en-GB"/>
    </w:rPr>
  </w:style>
  <w:style w:type="paragraph" w:customStyle="1" w:styleId="CRCoverPage">
    <w:name w:val="CR Cover Page"/>
    <w:link w:val="CRCoverPageZchn"/>
    <w:pPr>
      <w:spacing w:after="120"/>
    </w:pPr>
    <w:rPr>
      <w:rFonts w:ascii="Arial" w:eastAsia="MS Mincho" w:hAnsi="Arial" w:cs="Arial"/>
      <w:sz w:val="22"/>
      <w:szCs w:val="22"/>
      <w:lang w:val="en-GB" w:eastAsia="en-US"/>
    </w:rPr>
  </w:style>
  <w:style w:type="paragraph" w:customStyle="1" w:styleId="References">
    <w:name w:val="References"/>
    <w:basedOn w:val="a"/>
    <w:pPr>
      <w:numPr>
        <w:numId w:val="3"/>
      </w:numPr>
      <w:overflowPunct/>
      <w:adjustRightInd/>
      <w:snapToGrid w:val="0"/>
      <w:spacing w:after="60"/>
    </w:pPr>
    <w:rPr>
      <w:szCs w:val="16"/>
      <w:lang w:eastAsia="en-US"/>
    </w:rPr>
  </w:style>
  <w:style w:type="table" w:customStyle="1" w:styleId="10">
    <w:name w:val="网格型1"/>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uiPriority w:val="9"/>
    <w:semiHidden/>
    <w:rPr>
      <w:rFonts w:asciiTheme="majorHAnsi" w:eastAsiaTheme="majorEastAsia" w:hAnsiTheme="majorHAnsi" w:cstheme="majorBidi"/>
      <w:color w:val="1F3864" w:themeColor="accent1" w:themeShade="80"/>
      <w:sz w:val="24"/>
      <w:szCs w:val="24"/>
      <w:lang w:val="en-US" w:eastAsia="zh-CN"/>
    </w:rPr>
  </w:style>
  <w:style w:type="character" w:customStyle="1" w:styleId="Char">
    <w:name w:val="批注文字 Char"/>
    <w:basedOn w:val="a0"/>
    <w:link w:val="a4"/>
    <w:uiPriority w:val="99"/>
    <w:qFormat/>
    <w:rPr>
      <w:rFonts w:ascii="Arial" w:eastAsia="宋体" w:hAnsi="Arial" w:cs="Times New Roman"/>
      <w:sz w:val="20"/>
      <w:szCs w:val="20"/>
      <w:lang w:val="en-US" w:eastAsia="zh-CN"/>
    </w:rPr>
  </w:style>
  <w:style w:type="character" w:customStyle="1" w:styleId="Char4">
    <w:name w:val="批注主题 Char"/>
    <w:basedOn w:val="Char"/>
    <w:link w:val="aa"/>
    <w:uiPriority w:val="99"/>
    <w:semiHidden/>
    <w:rPr>
      <w:rFonts w:ascii="Arial" w:eastAsia="宋体" w:hAnsi="Arial" w:cs="Times New Roman"/>
      <w:b/>
      <w:bCs/>
      <w:sz w:val="20"/>
      <w:szCs w:val="20"/>
      <w:lang w:val="en-US" w:eastAsia="zh-CN"/>
    </w:rPr>
  </w:style>
  <w:style w:type="character" w:customStyle="1" w:styleId="Char1">
    <w:name w:val="批注框文本 Char"/>
    <w:basedOn w:val="a0"/>
    <w:link w:val="a6"/>
    <w:uiPriority w:val="99"/>
    <w:semiHidden/>
    <w:rPr>
      <w:rFonts w:ascii="Segoe UI" w:eastAsia="宋体" w:hAnsi="Segoe UI" w:cs="Segoe UI"/>
      <w:sz w:val="18"/>
      <w:szCs w:val="18"/>
      <w:lang w:val="en-US" w:eastAsia="zh-CN"/>
    </w:rPr>
  </w:style>
  <w:style w:type="character" w:customStyle="1" w:styleId="Char3">
    <w:name w:val="页眉 Char"/>
    <w:basedOn w:val="a0"/>
    <w:link w:val="a8"/>
    <w:uiPriority w:val="99"/>
    <w:rPr>
      <w:rFonts w:ascii="Arial" w:eastAsia="宋体" w:hAnsi="Arial" w:cs="Times New Roman"/>
      <w:sz w:val="18"/>
      <w:szCs w:val="18"/>
      <w:lang w:val="en-US" w:eastAsia="zh-CN"/>
    </w:rPr>
  </w:style>
  <w:style w:type="character" w:customStyle="1" w:styleId="Char2">
    <w:name w:val="页脚 Char"/>
    <w:basedOn w:val="a0"/>
    <w:link w:val="a7"/>
    <w:uiPriority w:val="99"/>
    <w:rPr>
      <w:rFonts w:ascii="Arial" w:eastAsia="宋体" w:hAnsi="Arial" w:cs="Times New Roman"/>
      <w:sz w:val="18"/>
      <w:szCs w:val="18"/>
      <w:lang w:val="en-US" w:eastAsia="zh-CN"/>
    </w:rPr>
  </w:style>
  <w:style w:type="character" w:customStyle="1" w:styleId="11">
    <w:name w:val="明显强调1"/>
    <w:basedOn w:val="a0"/>
    <w:uiPriority w:val="21"/>
    <w:qFormat/>
    <w:rPr>
      <w:i/>
      <w:iCs/>
      <w:color w:val="4472C4" w:themeColor="accent1"/>
    </w:rPr>
  </w:style>
  <w:style w:type="paragraph" w:customStyle="1" w:styleId="Agreement">
    <w:name w:val="Agreement"/>
    <w:basedOn w:val="a"/>
    <w:next w:val="a"/>
    <w:qFormat/>
    <w:pPr>
      <w:tabs>
        <w:tab w:val="left"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12">
    <w:name w:val="修订1"/>
    <w:hidden/>
    <w:uiPriority w:val="99"/>
    <w:semiHidden/>
    <w:rPr>
      <w:rFonts w:ascii="Arial" w:eastAsia="宋体" w:hAnsi="Arial"/>
    </w:rPr>
  </w:style>
  <w:style w:type="paragraph" w:customStyle="1" w:styleId="B2">
    <w:name w:val="B2"/>
    <w:basedOn w:val="20"/>
    <w:link w:val="B2Char"/>
    <w:qFormat/>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Pr>
      <w:rFonts w:eastAsia="MS Mincho"/>
      <w:kern w:val="2"/>
      <w:sz w:val="21"/>
      <w:lang w:eastAsia="zh-CN"/>
    </w:rPr>
  </w:style>
  <w:style w:type="paragraph" w:customStyle="1" w:styleId="B3">
    <w:name w:val="B3"/>
    <w:basedOn w:val="30"/>
    <w:link w:val="B3Char"/>
    <w:qFormat/>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Pr>
      <w:rFonts w:eastAsia="Times New Roman"/>
      <w:snapToGrid w:val="0"/>
      <w:color w:val="000000"/>
      <w:kern w:val="2"/>
      <w:sz w:val="21"/>
      <w:lang w:eastAsia="ja-JP"/>
    </w:rPr>
  </w:style>
  <w:style w:type="character" w:customStyle="1" w:styleId="B3Char2">
    <w:name w:val="B3 Char2"/>
    <w:qFormat/>
    <w:rPr>
      <w:rFonts w:eastAsia="Times New Roman"/>
      <w:lang w:val="en-GB" w:eastAsia="ja-JP"/>
    </w:rPr>
  </w:style>
  <w:style w:type="character" w:customStyle="1" w:styleId="41">
    <w:name w:val="标题 4 字符"/>
    <w:basedOn w:val="a0"/>
    <w:rPr>
      <w:rFonts w:ascii="Arial" w:eastAsia="Times New Roman" w:hAnsi="Arial" w:cs="Arial"/>
      <w:sz w:val="24"/>
      <w:lang w:val="en-US"/>
    </w:rPr>
  </w:style>
  <w:style w:type="character" w:customStyle="1" w:styleId="3Char1">
    <w:name w:val="标题 3 Char1"/>
    <w:basedOn w:val="a0"/>
    <w:link w:val="3"/>
    <w:rPr>
      <w:rFonts w:ascii="Times New Roman" w:eastAsia="Times New Roman" w:hAnsi="Times New Roman" w:cs="Times New Roman" w:hint="default"/>
      <w:b/>
      <w:sz w:val="32"/>
      <w:szCs w:val="32"/>
      <w:lang w:val="en-US"/>
    </w:rPr>
  </w:style>
  <w:style w:type="paragraph" w:customStyle="1" w:styleId="B4">
    <w:name w:val="B4"/>
    <w:basedOn w:val="40"/>
    <w:link w:val="B4Char"/>
    <w:pPr>
      <w:spacing w:after="180"/>
      <w:ind w:left="1418" w:hanging="284"/>
      <w:jc w:val="left"/>
    </w:pPr>
    <w:rPr>
      <w:rFonts w:eastAsia="Times New Roman"/>
      <w:lang w:val="en-US"/>
    </w:rPr>
  </w:style>
  <w:style w:type="character" w:customStyle="1" w:styleId="B4Char">
    <w:name w:val="B4 Char"/>
    <w:basedOn w:val="a0"/>
    <w:link w:val="B4"/>
    <w:rPr>
      <w:rFonts w:ascii="Times New Roman" w:eastAsia="Times New Roman" w:hAnsi="Times New Roman" w:cs="Times New Roman" w:hint="default"/>
      <w:lang w:val="en-US"/>
    </w:rPr>
  </w:style>
  <w:style w:type="paragraph" w:customStyle="1" w:styleId="B5">
    <w:name w:val="B5"/>
    <w:basedOn w:val="50"/>
    <w:link w:val="B5Char"/>
    <w:pPr>
      <w:spacing w:after="180"/>
      <w:ind w:left="1702" w:hanging="284"/>
      <w:jc w:val="left"/>
    </w:pPr>
    <w:rPr>
      <w:rFonts w:eastAsia="Times New Roman"/>
      <w:lang w:val="en-US"/>
    </w:rPr>
  </w:style>
  <w:style w:type="character" w:customStyle="1" w:styleId="B5Char">
    <w:name w:val="B5 Char"/>
    <w:basedOn w:val="a0"/>
    <w:link w:val="B5"/>
    <w:rPr>
      <w:rFonts w:ascii="Times New Roman" w:eastAsia="Times New Roman" w:hAnsi="Times New Roman" w:cs="Times New Roman" w:hint="defau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1692</Words>
  <Characters>9651</Characters>
  <Application>Microsoft Office Word</Application>
  <DocSecurity>0</DocSecurity>
  <Lines>80</Lines>
  <Paragraphs>22</Paragraphs>
  <ScaleCrop>false</ScaleCrop>
  <Company>Huawei Technologies Co., Ltd.</Company>
  <LinksUpToDate>false</LinksUpToDate>
  <CharactersWithSpaces>11321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Huawei/HiSilicon</dc:creator>
  <cp:lastModifiedBy>Huawei, HiSilicon</cp:lastModifiedBy>
  <cp:revision>3</cp:revision>
  <dcterms:created xsi:type="dcterms:W3CDTF">2023-04-07T10:39:00Z</dcterms:created>
  <dcterms:modified xsi:type="dcterms:W3CDTF">2023-05-12T07:42:00Z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(3)rW6dir/6zDLIq1lxcb8YJUvT5fiODEMAZCCImcqRJYOfk3buTdU1N6ckfVvlf44iPN2SgHzn
Zj1GamUHFR8m+lDcZbKhmiswl4lzaPAREFYA9KEZLcKVaxVMEQ95Nk07MzrDRs8wObUwHqUc
DvzOgVXpzYxsUHPNYLo3b35uPHh/xkKHGr8ujo66S0uFHRnBURN3unyOh2H9U5nilOTOLhXt
80B006mxW0VvpKKrg0</vt:lpwstr>
  </property>
  <property fmtid="{D5CDD505-2E9C-101B-9397-08002B2CF9AE}" pid="3" name="_2015_ms_pID_7253431">
    <vt:lpwstr>Q2QWp+Nkh8AcsgZ+By2u4O+p7J35q/AOk05T+ifCkIPCKvYKKmpvZO
ZT0jxI8LXT2/IhEQ9KlnHQ748eBHyRqtDOMdBWmIglauXOt60ong61o2MLjiC+pP9GsW1gUj
VEku5EZDmuOp7JoQ4TotuF5+MxKRMfKRYqehEXmKzJwf+v2USE67FOLoYHBqjJV7zh2dnjvO
AwVqczUv8PswWbRYQ8rP80dkCwMX/muV4WwA</vt:lpwstr>
  </property>
  <property fmtid="{D5CDD505-2E9C-101B-9397-08002B2CF9AE}" pid="4" name="_2015_ms_pID_7253432">
    <vt:lpwstr>RTsEKTEBtgiQqkfHK1aT8Fk=</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1683777478</vt:lpwstr>
  </property>
</Properties>
</file>